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2727">
      <w:pPr>
        <w:pStyle w:val="8"/>
        <w:rPr>
          <w:rFonts w:ascii="楷体"/>
          <w:sz w:val="20"/>
        </w:rPr>
      </w:pPr>
    </w:p>
    <w:p w14:paraId="26EE4308">
      <w:pPr>
        <w:pStyle w:val="8"/>
        <w:rPr>
          <w:rFonts w:ascii="楷体"/>
          <w:sz w:val="20"/>
        </w:rPr>
      </w:pPr>
    </w:p>
    <w:p w14:paraId="0D88AD7E">
      <w:pPr>
        <w:pStyle w:val="8"/>
        <w:rPr>
          <w:rFonts w:ascii="楷体"/>
          <w:sz w:val="20"/>
        </w:rPr>
      </w:pPr>
    </w:p>
    <w:p w14:paraId="64E02027">
      <w:pPr>
        <w:pStyle w:val="8"/>
        <w:rPr>
          <w:rFonts w:ascii="楷体"/>
          <w:sz w:val="20"/>
        </w:rPr>
      </w:pPr>
    </w:p>
    <w:p w14:paraId="5CB17E52">
      <w:pPr>
        <w:pStyle w:val="8"/>
        <w:spacing w:before="4"/>
        <w:rPr>
          <w:rFonts w:ascii="楷体"/>
          <w:sz w:val="29"/>
        </w:rPr>
      </w:pPr>
      <w:r>
        <w:drawing>
          <wp:anchor distT="0" distB="0" distL="0" distR="0" simplePos="0" relativeHeight="251660288" behindDoc="0" locked="0" layoutInCell="1" allowOverlap="1">
            <wp:simplePos x="0" y="0"/>
            <wp:positionH relativeFrom="page">
              <wp:posOffset>2364740</wp:posOffset>
            </wp:positionH>
            <wp:positionV relativeFrom="paragraph">
              <wp:posOffset>263525</wp:posOffset>
            </wp:positionV>
            <wp:extent cx="2905125" cy="6032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2904896" cy="603503"/>
                    </a:xfrm>
                    <a:prstGeom prst="rect">
                      <a:avLst/>
                    </a:prstGeom>
                  </pic:spPr>
                </pic:pic>
              </a:graphicData>
            </a:graphic>
          </wp:anchor>
        </w:drawing>
      </w:r>
    </w:p>
    <w:p w14:paraId="51A0B4FD">
      <w:pPr>
        <w:pStyle w:val="8"/>
        <w:spacing w:before="1"/>
        <w:rPr>
          <w:rFonts w:ascii="楷体"/>
          <w:sz w:val="16"/>
        </w:rPr>
      </w:pPr>
    </w:p>
    <w:p w14:paraId="3F0252EC">
      <w:pPr>
        <w:spacing w:before="0" w:line="799" w:lineRule="exact"/>
        <w:ind w:left="1187" w:right="1295" w:firstLine="0"/>
        <w:jc w:val="center"/>
        <w:rPr>
          <w:rFonts w:hint="eastAsia" w:ascii="Malgun Gothic" w:eastAsia="Malgun Gothic"/>
          <w:b/>
          <w:sz w:val="52"/>
        </w:rPr>
      </w:pPr>
      <w:r>
        <w:rPr>
          <w:rFonts w:hint="eastAsia" w:ascii="Malgun Gothic"/>
          <w:b/>
          <w:sz w:val="52"/>
          <w:lang w:val="en-US" w:eastAsia="zh-CN"/>
        </w:rPr>
        <w:t>自学考试</w:t>
      </w:r>
      <w:r>
        <w:rPr>
          <w:rFonts w:hint="eastAsia" w:ascii="宋体" w:hAnsi="宋体" w:eastAsia="宋体" w:cs="宋体"/>
          <w:b/>
          <w:sz w:val="52"/>
        </w:rPr>
        <w:t>本科生</w:t>
      </w:r>
      <w:r>
        <w:rPr>
          <w:b/>
          <w:sz w:val="52"/>
        </w:rPr>
        <w:t>毕业论</w:t>
      </w:r>
      <w:r>
        <w:rPr>
          <w:rFonts w:hint="eastAsia"/>
          <w:b/>
          <w:sz w:val="52"/>
        </w:rPr>
        <w:t>文（</w:t>
      </w:r>
      <w:r>
        <w:rPr>
          <w:b/>
          <w:sz w:val="52"/>
        </w:rPr>
        <w:t>设计</w:t>
      </w:r>
      <w:r>
        <w:rPr>
          <w:rFonts w:hint="eastAsia"/>
          <w:b/>
          <w:sz w:val="52"/>
        </w:rPr>
        <w:t>）</w:t>
      </w:r>
    </w:p>
    <w:p w14:paraId="23DA24C7">
      <w:pPr>
        <w:pStyle w:val="8"/>
        <w:rPr>
          <w:rFonts w:ascii="Malgun Gothic"/>
          <w:b/>
          <w:sz w:val="20"/>
        </w:rPr>
      </w:pPr>
    </w:p>
    <w:p w14:paraId="79B470AE">
      <w:pPr>
        <w:pStyle w:val="8"/>
        <w:rPr>
          <w:rFonts w:ascii="Malgun Gothic"/>
          <w:b/>
          <w:sz w:val="18"/>
        </w:rPr>
      </w:pPr>
      <w:r>
        <w:drawing>
          <wp:anchor distT="0" distB="0" distL="0" distR="0" simplePos="0" relativeHeight="251661312" behindDoc="0" locked="0" layoutInCell="1" allowOverlap="1">
            <wp:simplePos x="0" y="0"/>
            <wp:positionH relativeFrom="page">
              <wp:posOffset>3386455</wp:posOffset>
            </wp:positionH>
            <wp:positionV relativeFrom="paragraph">
              <wp:posOffset>232410</wp:posOffset>
            </wp:positionV>
            <wp:extent cx="908050" cy="89598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1" cstate="print"/>
                    <a:stretch>
                      <a:fillRect/>
                    </a:stretch>
                  </pic:blipFill>
                  <pic:spPr>
                    <a:xfrm>
                      <a:off x="0" y="0"/>
                      <a:ext cx="908297" cy="896112"/>
                    </a:xfrm>
                    <a:prstGeom prst="rect">
                      <a:avLst/>
                    </a:prstGeom>
                  </pic:spPr>
                </pic:pic>
              </a:graphicData>
            </a:graphic>
          </wp:anchor>
        </w:drawing>
      </w:r>
    </w:p>
    <w:p w14:paraId="49F5592B">
      <w:pPr>
        <w:pStyle w:val="8"/>
        <w:rPr>
          <w:rFonts w:ascii="Malgun Gothic"/>
          <w:b/>
          <w:sz w:val="20"/>
        </w:rPr>
      </w:pPr>
    </w:p>
    <w:p w14:paraId="088F4889">
      <w:pPr>
        <w:pStyle w:val="8"/>
        <w:rPr>
          <w:rFonts w:ascii="Malgun Gothic"/>
          <w:b/>
          <w:sz w:val="20"/>
        </w:rPr>
      </w:pPr>
    </w:p>
    <w:p w14:paraId="2C8B3847">
      <w:pPr>
        <w:pStyle w:val="8"/>
        <w:rPr>
          <w:rFonts w:ascii="Malgun Gothic"/>
          <w:b/>
          <w:sz w:val="20"/>
        </w:rPr>
      </w:pPr>
    </w:p>
    <w:p w14:paraId="293FDD77">
      <w:pPr>
        <w:pStyle w:val="8"/>
        <w:rPr>
          <w:rFonts w:ascii="Malgun Gothic"/>
          <w:b/>
          <w:sz w:val="20"/>
        </w:rPr>
      </w:pPr>
    </w:p>
    <w:p w14:paraId="27B4E1D0">
      <w:pPr>
        <w:pStyle w:val="8"/>
        <w:rPr>
          <w:rFonts w:ascii="Malgun Gothic"/>
          <w:b/>
          <w:sz w:val="20"/>
        </w:rPr>
      </w:pPr>
    </w:p>
    <w:p w14:paraId="5C2C322D">
      <w:pPr>
        <w:pStyle w:val="8"/>
        <w:spacing w:before="13"/>
        <w:rPr>
          <w:rFonts w:ascii="Malgun Gothic"/>
          <w:b/>
          <w:sz w:val="20"/>
        </w:rPr>
      </w:pPr>
    </w:p>
    <w:tbl>
      <w:tblPr>
        <w:tblStyle w:val="11"/>
        <w:tblW w:w="0" w:type="auto"/>
        <w:tblInd w:w="1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9"/>
        <w:gridCol w:w="481"/>
        <w:gridCol w:w="4911"/>
      </w:tblGrid>
      <w:tr w14:paraId="12D1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649" w:type="dxa"/>
            <w:vAlign w:val="center"/>
          </w:tcPr>
          <w:p w14:paraId="0591E4DE">
            <w:pPr>
              <w:pStyle w:val="15"/>
              <w:spacing w:line="320" w:lineRule="exact"/>
              <w:ind w:left="107"/>
              <w:jc w:val="distribute"/>
              <w:rPr>
                <w:rFonts w:hint="eastAsia" w:ascii="仿宋" w:eastAsia="仿宋"/>
                <w:sz w:val="28"/>
              </w:rPr>
            </w:pPr>
            <w:r>
              <w:rPr>
                <w:rFonts w:hint="eastAsia" w:ascii="仿宋" w:eastAsia="仿宋"/>
                <w:sz w:val="28"/>
              </w:rPr>
              <w:t>论文题目</w:t>
            </w:r>
          </w:p>
        </w:tc>
        <w:tc>
          <w:tcPr>
            <w:tcW w:w="481" w:type="dxa"/>
            <w:vAlign w:val="center"/>
          </w:tcPr>
          <w:p w14:paraId="24673725">
            <w:pPr>
              <w:pStyle w:val="15"/>
              <w:spacing w:line="320" w:lineRule="exact"/>
              <w:ind w:right="34"/>
              <w:jc w:val="center"/>
              <w:rPr>
                <w:rFonts w:hint="eastAsia" w:ascii="宋体" w:eastAsia="宋体"/>
                <w:b/>
                <w:sz w:val="28"/>
              </w:rPr>
            </w:pPr>
            <w:r>
              <w:rPr>
                <w:rFonts w:hint="eastAsia" w:ascii="宋体" w:eastAsia="宋体"/>
                <w:b/>
                <w:w w:val="99"/>
                <w:sz w:val="28"/>
              </w:rPr>
              <w:t>：</w:t>
            </w:r>
          </w:p>
        </w:tc>
        <w:tc>
          <w:tcPr>
            <w:tcW w:w="4911" w:type="dxa"/>
            <w:tcBorders>
              <w:bottom w:val="single" w:color="000000" w:sz="4" w:space="0"/>
            </w:tcBorders>
            <w:vAlign w:val="center"/>
          </w:tcPr>
          <w:p w14:paraId="7381B4B1">
            <w:pPr>
              <w:pStyle w:val="15"/>
              <w:spacing w:line="320" w:lineRule="exact"/>
              <w:ind w:left="608" w:right="608"/>
              <w:jc w:val="center"/>
              <w:rPr>
                <w:rFonts w:hint="eastAsia" w:ascii="宋体" w:eastAsia="宋体"/>
                <w:b/>
                <w:sz w:val="28"/>
              </w:rPr>
            </w:pPr>
            <w:r>
              <w:rPr>
                <w:rFonts w:hint="eastAsia" w:ascii="宋体" w:eastAsia="宋体"/>
                <w:b/>
                <w:sz w:val="28"/>
              </w:rPr>
              <w:t>资产证券化及其会计问题初探</w:t>
            </w:r>
          </w:p>
        </w:tc>
      </w:tr>
      <w:tr w14:paraId="5A17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649" w:type="dxa"/>
          </w:tcPr>
          <w:p w14:paraId="25AC749F">
            <w:pPr>
              <w:pStyle w:val="15"/>
              <w:tabs>
                <w:tab w:val="left" w:pos="1055"/>
              </w:tabs>
              <w:spacing w:before="132"/>
              <w:ind w:left="54"/>
              <w:jc w:val="distribute"/>
              <w:rPr>
                <w:rFonts w:hint="eastAsia" w:ascii="仿宋" w:eastAsia="仿宋"/>
                <w:sz w:val="28"/>
              </w:rPr>
            </w:pPr>
            <w:r>
              <w:rPr>
                <w:rFonts w:hint="eastAsia" w:ascii="仿宋" w:eastAsia="仿宋"/>
                <w:sz w:val="28"/>
              </w:rPr>
              <w:t>姓</w:t>
            </w:r>
            <w:r>
              <w:rPr>
                <w:rFonts w:hint="eastAsia" w:ascii="仿宋" w:eastAsia="仿宋"/>
                <w:sz w:val="28"/>
                <w:lang w:val="en-US" w:eastAsia="zh-CN"/>
              </w:rPr>
              <w:t xml:space="preserve"> </w:t>
            </w:r>
            <w:r>
              <w:rPr>
                <w:rFonts w:hint="eastAsia" w:ascii="仿宋" w:eastAsia="仿宋"/>
                <w:sz w:val="28"/>
              </w:rPr>
              <w:t>名</w:t>
            </w:r>
          </w:p>
        </w:tc>
        <w:tc>
          <w:tcPr>
            <w:tcW w:w="481" w:type="dxa"/>
          </w:tcPr>
          <w:p w14:paraId="07720A1C">
            <w:pPr>
              <w:pStyle w:val="15"/>
              <w:spacing w:before="132"/>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14:paraId="31242F5F">
            <w:pPr>
              <w:pStyle w:val="15"/>
              <w:spacing w:before="132"/>
              <w:ind w:left="607" w:right="608"/>
              <w:rPr>
                <w:rFonts w:hint="eastAsia" w:ascii="宋体" w:eastAsia="宋体"/>
                <w:b/>
                <w:sz w:val="28"/>
              </w:rPr>
            </w:pPr>
            <w:r>
              <w:rPr>
                <w:rFonts w:hint="eastAsia" w:ascii="宋体" w:eastAsia="宋体"/>
                <w:b/>
                <w:sz w:val="28"/>
              </w:rPr>
              <w:t>张东明</w:t>
            </w:r>
          </w:p>
        </w:tc>
      </w:tr>
      <w:tr w14:paraId="7160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649" w:type="dxa"/>
          </w:tcPr>
          <w:p w14:paraId="482BBD5C">
            <w:pPr>
              <w:pStyle w:val="15"/>
              <w:tabs>
                <w:tab w:val="left" w:pos="1055"/>
              </w:tabs>
              <w:spacing w:before="132"/>
              <w:ind w:left="54"/>
              <w:jc w:val="distribute"/>
              <w:rPr>
                <w:rFonts w:hint="default" w:ascii="仿宋" w:eastAsia="仿宋"/>
                <w:sz w:val="28"/>
                <w:lang w:val="en-US" w:eastAsia="zh-CN"/>
              </w:rPr>
            </w:pPr>
            <w:r>
              <w:rPr>
                <w:rFonts w:hint="eastAsia" w:ascii="仿宋" w:eastAsia="仿宋"/>
                <w:sz w:val="28"/>
                <w:lang w:val="en-US" w:eastAsia="zh-CN"/>
              </w:rPr>
              <w:t>准考证号</w:t>
            </w:r>
          </w:p>
        </w:tc>
        <w:tc>
          <w:tcPr>
            <w:tcW w:w="481" w:type="dxa"/>
          </w:tcPr>
          <w:p w14:paraId="33ED20C6">
            <w:pPr>
              <w:pStyle w:val="15"/>
              <w:spacing w:before="132"/>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14:paraId="34E76EEA">
            <w:pPr>
              <w:pStyle w:val="15"/>
              <w:spacing w:before="151"/>
              <w:ind w:left="608" w:right="608"/>
              <w:rPr>
                <w:b/>
                <w:sz w:val="28"/>
              </w:rPr>
            </w:pPr>
            <w:r>
              <w:rPr>
                <w:b/>
                <w:sz w:val="28"/>
              </w:rPr>
              <w:t>XXXXXXXX</w:t>
            </w:r>
          </w:p>
        </w:tc>
      </w:tr>
      <w:tr w14:paraId="0686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649" w:type="dxa"/>
          </w:tcPr>
          <w:p w14:paraId="3663014B">
            <w:pPr>
              <w:pStyle w:val="15"/>
              <w:tabs>
                <w:tab w:val="left" w:pos="1055"/>
              </w:tabs>
              <w:spacing w:before="135"/>
              <w:ind w:left="54"/>
              <w:jc w:val="distribute"/>
              <w:rPr>
                <w:rFonts w:hint="eastAsia" w:ascii="仿宋" w:eastAsia="仿宋"/>
                <w:sz w:val="28"/>
              </w:rPr>
            </w:pPr>
            <w:r>
              <w:rPr>
                <w:rFonts w:hint="eastAsia" w:ascii="仿宋" w:eastAsia="仿宋"/>
                <w:sz w:val="28"/>
              </w:rPr>
              <w:t>专业</w:t>
            </w:r>
          </w:p>
        </w:tc>
        <w:tc>
          <w:tcPr>
            <w:tcW w:w="481" w:type="dxa"/>
          </w:tcPr>
          <w:p w14:paraId="219E4526">
            <w:pPr>
              <w:pStyle w:val="15"/>
              <w:spacing w:before="135"/>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14:paraId="768465C3">
            <w:pPr>
              <w:pStyle w:val="15"/>
              <w:spacing w:before="153"/>
              <w:ind w:left="608" w:right="606"/>
              <w:rPr>
                <w:b/>
                <w:sz w:val="28"/>
              </w:rPr>
            </w:pPr>
            <w:r>
              <w:rPr>
                <w:b/>
                <w:sz w:val="28"/>
              </w:rPr>
              <w:t>XXXXXX</w:t>
            </w:r>
          </w:p>
        </w:tc>
      </w:tr>
      <w:tr w14:paraId="18BE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649" w:type="dxa"/>
          </w:tcPr>
          <w:p w14:paraId="4903072D">
            <w:pPr>
              <w:pStyle w:val="15"/>
              <w:spacing w:before="132"/>
              <w:ind w:left="107"/>
              <w:jc w:val="distribute"/>
              <w:rPr>
                <w:rFonts w:hint="eastAsia" w:ascii="仿宋" w:eastAsia="仿宋"/>
                <w:sz w:val="28"/>
              </w:rPr>
            </w:pPr>
            <w:r>
              <w:rPr>
                <w:rFonts w:hint="eastAsia" w:ascii="仿宋" w:eastAsia="仿宋"/>
                <w:sz w:val="28"/>
              </w:rPr>
              <w:t>指导教师</w:t>
            </w:r>
          </w:p>
        </w:tc>
        <w:tc>
          <w:tcPr>
            <w:tcW w:w="481" w:type="dxa"/>
          </w:tcPr>
          <w:p w14:paraId="4DF20789">
            <w:pPr>
              <w:pStyle w:val="15"/>
              <w:spacing w:before="132"/>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bottom w:val="single" w:color="000000" w:sz="4" w:space="0"/>
            </w:tcBorders>
          </w:tcPr>
          <w:p w14:paraId="76327157">
            <w:pPr>
              <w:pStyle w:val="15"/>
              <w:tabs>
                <w:tab w:val="left" w:pos="887"/>
              </w:tabs>
              <w:spacing w:before="132"/>
              <w:ind w:right="1"/>
              <w:rPr>
                <w:rFonts w:hint="eastAsia" w:ascii="宋体" w:eastAsia="宋体"/>
                <w:b/>
                <w:sz w:val="28"/>
              </w:rPr>
            </w:pPr>
            <w:r>
              <w:rPr>
                <w:b/>
                <w:sz w:val="28"/>
              </w:rPr>
              <w:t>XXX</w:t>
            </w:r>
          </w:p>
        </w:tc>
      </w:tr>
      <w:tr w14:paraId="1085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649" w:type="dxa"/>
          </w:tcPr>
          <w:p w14:paraId="34B2D76D">
            <w:pPr>
              <w:pStyle w:val="15"/>
              <w:spacing w:before="132" w:line="321" w:lineRule="exact"/>
              <w:ind w:left="107"/>
              <w:jc w:val="distribute"/>
              <w:rPr>
                <w:rFonts w:hint="eastAsia" w:ascii="仿宋" w:eastAsia="仿宋"/>
                <w:sz w:val="28"/>
              </w:rPr>
            </w:pPr>
            <w:r>
              <w:rPr>
                <w:rFonts w:hint="eastAsia" w:ascii="仿宋" w:eastAsia="仿宋"/>
                <w:sz w:val="28"/>
              </w:rPr>
              <w:t>完成时间</w:t>
            </w:r>
          </w:p>
        </w:tc>
        <w:tc>
          <w:tcPr>
            <w:tcW w:w="481" w:type="dxa"/>
          </w:tcPr>
          <w:p w14:paraId="28B98CBA">
            <w:pPr>
              <w:pStyle w:val="15"/>
              <w:spacing w:before="132" w:line="321" w:lineRule="exact"/>
              <w:ind w:right="34"/>
              <w:rPr>
                <w:rFonts w:hint="eastAsia" w:ascii="宋体" w:eastAsia="宋体"/>
                <w:b/>
                <w:sz w:val="28"/>
              </w:rPr>
            </w:pPr>
            <w:r>
              <w:rPr>
                <w:rFonts w:hint="eastAsia" w:ascii="宋体" w:eastAsia="宋体"/>
                <w:b/>
                <w:w w:val="99"/>
                <w:sz w:val="28"/>
              </w:rPr>
              <w:t>：</w:t>
            </w:r>
          </w:p>
        </w:tc>
        <w:tc>
          <w:tcPr>
            <w:tcW w:w="4911" w:type="dxa"/>
            <w:tcBorders>
              <w:top w:val="single" w:color="000000" w:sz="4" w:space="0"/>
            </w:tcBorders>
          </w:tcPr>
          <w:p w14:paraId="349D77FB">
            <w:pPr>
              <w:pStyle w:val="15"/>
              <w:tabs>
                <w:tab w:val="left" w:pos="887"/>
              </w:tabs>
              <w:spacing w:before="132"/>
              <w:ind w:right="1"/>
              <w:rPr>
                <w:rFonts w:hint="eastAsia"/>
                <w:b/>
                <w:sz w:val="28"/>
              </w:rPr>
            </w:pPr>
            <w:r>
              <w:rPr>
                <w:b/>
                <w:sz w:val="28"/>
              </w:rPr>
              <w:t xml:space="preserve">20XX </w:t>
            </w:r>
            <w:r>
              <w:rPr>
                <w:rFonts w:hint="eastAsia"/>
                <w:b/>
                <w:sz w:val="28"/>
              </w:rPr>
              <w:t xml:space="preserve">年 月 </w:t>
            </w:r>
            <w:r>
              <w:rPr>
                <w:b/>
                <w:sz w:val="28"/>
              </w:rPr>
              <w:t xml:space="preserve">XX </w:t>
            </w:r>
            <w:r>
              <w:rPr>
                <w:rFonts w:hint="eastAsia"/>
                <w:b/>
                <w:sz w:val="28"/>
              </w:rPr>
              <w:t>日</w:t>
            </w:r>
          </w:p>
        </w:tc>
      </w:tr>
    </w:tbl>
    <w:p w14:paraId="18B62AC6">
      <w:pPr>
        <w:spacing w:after="0" w:line="321" w:lineRule="exact"/>
        <w:rPr>
          <w:rFonts w:hint="eastAsia" w:ascii="宋体" w:eastAsia="宋体"/>
          <w:sz w:val="28"/>
        </w:rPr>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14:paraId="68C1216D">
      <w:pPr>
        <w:pStyle w:val="8"/>
        <w:spacing w:before="9"/>
        <w:rPr>
          <w:rFonts w:ascii="Malgun Gothic"/>
          <w:b/>
          <w:sz w:val="22"/>
        </w:rPr>
      </w:pPr>
    </w:p>
    <w:p w14:paraId="34254476">
      <w:pPr>
        <w:pStyle w:val="2"/>
        <w:rPr>
          <w:rFonts w:hint="eastAsia" w:ascii="宋体" w:eastAsia="宋体"/>
        </w:rPr>
      </w:pPr>
      <w:r>
        <w:rPr>
          <w:rFonts w:hint="eastAsia" w:ascii="宋体" w:eastAsia="宋体"/>
        </w:rPr>
        <w:t>作者声明</w:t>
      </w:r>
    </w:p>
    <w:p w14:paraId="380BC92F">
      <w:pPr>
        <w:pStyle w:val="8"/>
        <w:rPr>
          <w:b/>
          <w:sz w:val="37"/>
        </w:rPr>
      </w:pPr>
    </w:p>
    <w:p w14:paraId="14B7063A">
      <w:pPr>
        <w:pStyle w:val="6"/>
        <w:spacing w:line="417" w:lineRule="auto"/>
        <w:ind w:right="341" w:firstLine="559"/>
        <w:jc w:val="both"/>
      </w:pPr>
      <w:r>
        <w:t>本毕业论文（设计）是在导师的指导下由本人独立撰写完成的，没有剽窃、抄袭、造假等违反道德、学术规范和其他侵权行为。对本论文（设计） 的研究做出重要贡献的个人和集体，均已在文中以明确方式标明。因本毕业论文（设计）引起的法律</w:t>
      </w:r>
      <w:r>
        <w:rPr>
          <w:rFonts w:hint="eastAsia"/>
          <w:lang w:val="en-US" w:eastAsia="zh-CN"/>
        </w:rPr>
        <w:t>后果</w:t>
      </w:r>
      <w:r>
        <w:t>完全由本人承担。</w:t>
      </w:r>
    </w:p>
    <w:p w14:paraId="3505DE89">
      <w:pPr>
        <w:spacing w:before="0" w:line="417" w:lineRule="auto"/>
        <w:ind w:left="798" w:right="2866" w:firstLine="0"/>
        <w:jc w:val="left"/>
        <w:rPr>
          <w:sz w:val="28"/>
        </w:rPr>
      </w:pPr>
      <w:r>
        <w:rPr>
          <w:sz w:val="28"/>
        </w:rPr>
        <w:t>毕业论文（设计）成果归中南财经政法大学所有。特此声明。</w:t>
      </w:r>
    </w:p>
    <w:p w14:paraId="5B7D7737">
      <w:pPr>
        <w:pStyle w:val="8"/>
        <w:rPr>
          <w:sz w:val="20"/>
        </w:rPr>
      </w:pPr>
    </w:p>
    <w:p w14:paraId="567FB2F3">
      <w:pPr>
        <w:pStyle w:val="8"/>
        <w:rPr>
          <w:sz w:val="20"/>
        </w:rPr>
      </w:pPr>
    </w:p>
    <w:p w14:paraId="2EC0776B">
      <w:pPr>
        <w:pStyle w:val="8"/>
        <w:rPr>
          <w:sz w:val="20"/>
        </w:rPr>
      </w:pPr>
    </w:p>
    <w:p w14:paraId="15346104">
      <w:pPr>
        <w:pStyle w:val="8"/>
        <w:rPr>
          <w:sz w:val="20"/>
        </w:rPr>
      </w:pPr>
    </w:p>
    <w:p w14:paraId="2D6C6FBA">
      <w:pPr>
        <w:pStyle w:val="8"/>
        <w:rPr>
          <w:sz w:val="20"/>
        </w:rPr>
      </w:pPr>
    </w:p>
    <w:p w14:paraId="079F6EC4">
      <w:pPr>
        <w:pStyle w:val="8"/>
        <w:spacing w:before="11" w:after="1"/>
        <w:rPr>
          <w:sz w:val="11"/>
        </w:rPr>
      </w:pPr>
    </w:p>
    <w:tbl>
      <w:tblPr>
        <w:tblStyle w:val="11"/>
        <w:tblW w:w="0" w:type="auto"/>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70"/>
        <w:gridCol w:w="508"/>
        <w:gridCol w:w="2474"/>
      </w:tblGrid>
      <w:tr w14:paraId="2A4D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1570" w:type="dxa"/>
          </w:tcPr>
          <w:p w14:paraId="1936658D">
            <w:pPr>
              <w:pStyle w:val="15"/>
              <w:spacing w:line="329" w:lineRule="exact"/>
              <w:ind w:right="106"/>
              <w:jc w:val="right"/>
              <w:rPr>
                <w:rFonts w:hint="eastAsia" w:ascii="宋体" w:eastAsia="宋体"/>
                <w:sz w:val="28"/>
              </w:rPr>
            </w:pPr>
            <w:r>
              <w:rPr>
                <w:rFonts w:hint="eastAsia" w:ascii="宋体" w:eastAsia="宋体"/>
                <w:sz w:val="28"/>
              </w:rPr>
              <w:t xml:space="preserve">作者专业 </w:t>
            </w:r>
          </w:p>
        </w:tc>
        <w:tc>
          <w:tcPr>
            <w:tcW w:w="508" w:type="dxa"/>
          </w:tcPr>
          <w:p w14:paraId="3DF1751A">
            <w:pPr>
              <w:pStyle w:val="15"/>
              <w:spacing w:line="329" w:lineRule="exact"/>
              <w:ind w:right="7"/>
              <w:rPr>
                <w:rFonts w:hint="eastAsia" w:ascii="宋体" w:eastAsia="宋体"/>
                <w:sz w:val="28"/>
              </w:rPr>
            </w:pPr>
            <w:r>
              <w:rPr>
                <w:rFonts w:hint="eastAsia" w:ascii="宋体" w:eastAsia="宋体"/>
                <w:w w:val="100"/>
                <w:sz w:val="28"/>
              </w:rPr>
              <w:t>：</w:t>
            </w:r>
          </w:p>
        </w:tc>
        <w:tc>
          <w:tcPr>
            <w:tcW w:w="2474" w:type="dxa"/>
          </w:tcPr>
          <w:p w14:paraId="7811C584">
            <w:pPr>
              <w:pStyle w:val="15"/>
              <w:spacing w:line="311" w:lineRule="exact"/>
              <w:ind w:left="119"/>
              <w:jc w:val="left"/>
              <w:rPr>
                <w:b/>
                <w:sz w:val="28"/>
              </w:rPr>
            </w:pPr>
            <w:r>
              <w:rPr>
                <w:b/>
                <w:sz w:val="28"/>
              </w:rPr>
              <w:t>XXXXXX</w:t>
            </w:r>
          </w:p>
        </w:tc>
      </w:tr>
      <w:tr w14:paraId="1600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570" w:type="dxa"/>
          </w:tcPr>
          <w:p w14:paraId="77D79FA8">
            <w:pPr>
              <w:pStyle w:val="15"/>
              <w:spacing w:before="126"/>
              <w:ind w:right="106"/>
              <w:jc w:val="right"/>
              <w:rPr>
                <w:rFonts w:hint="eastAsia" w:ascii="宋体" w:eastAsia="宋体"/>
                <w:sz w:val="28"/>
              </w:rPr>
            </w:pPr>
            <w:r>
              <w:rPr>
                <w:rFonts w:hint="eastAsia" w:ascii="宋体" w:eastAsia="宋体"/>
                <w:sz w:val="28"/>
              </w:rPr>
              <w:t xml:space="preserve">作者学号 </w:t>
            </w:r>
          </w:p>
        </w:tc>
        <w:tc>
          <w:tcPr>
            <w:tcW w:w="508" w:type="dxa"/>
          </w:tcPr>
          <w:p w14:paraId="33FD94F2">
            <w:pPr>
              <w:pStyle w:val="15"/>
              <w:spacing w:before="126"/>
              <w:ind w:right="7"/>
              <w:rPr>
                <w:rFonts w:hint="eastAsia" w:ascii="宋体" w:eastAsia="宋体"/>
                <w:sz w:val="28"/>
              </w:rPr>
            </w:pPr>
            <w:r>
              <w:rPr>
                <w:rFonts w:hint="eastAsia" w:ascii="宋体" w:eastAsia="宋体"/>
                <w:w w:val="100"/>
                <w:sz w:val="28"/>
              </w:rPr>
              <w:t>：</w:t>
            </w:r>
          </w:p>
        </w:tc>
        <w:tc>
          <w:tcPr>
            <w:tcW w:w="2474" w:type="dxa"/>
          </w:tcPr>
          <w:p w14:paraId="4DCCB97E">
            <w:pPr>
              <w:pStyle w:val="15"/>
              <w:spacing w:before="145"/>
              <w:ind w:left="119"/>
              <w:jc w:val="left"/>
              <w:rPr>
                <w:b/>
                <w:sz w:val="28"/>
              </w:rPr>
            </w:pPr>
            <w:r>
              <w:rPr>
                <w:b/>
                <w:sz w:val="28"/>
              </w:rPr>
              <w:t>03083356</w:t>
            </w:r>
          </w:p>
        </w:tc>
      </w:tr>
      <w:tr w14:paraId="74C7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1570" w:type="dxa"/>
          </w:tcPr>
          <w:p w14:paraId="34C0FEFD">
            <w:pPr>
              <w:pStyle w:val="15"/>
              <w:spacing w:before="131"/>
              <w:ind w:right="106"/>
              <w:jc w:val="right"/>
              <w:rPr>
                <w:rFonts w:hint="eastAsia" w:ascii="宋体" w:eastAsia="宋体"/>
                <w:sz w:val="28"/>
              </w:rPr>
            </w:pPr>
            <w:r>
              <w:rPr>
                <w:rFonts w:hint="eastAsia" w:ascii="宋体" w:eastAsia="宋体"/>
                <w:sz w:val="28"/>
              </w:rPr>
              <w:t xml:space="preserve">作者签名 </w:t>
            </w:r>
          </w:p>
        </w:tc>
        <w:tc>
          <w:tcPr>
            <w:tcW w:w="508" w:type="dxa"/>
          </w:tcPr>
          <w:p w14:paraId="197371FA">
            <w:pPr>
              <w:pStyle w:val="15"/>
              <w:spacing w:before="131"/>
              <w:ind w:right="7"/>
              <w:rPr>
                <w:rFonts w:hint="eastAsia" w:ascii="宋体" w:eastAsia="宋体"/>
                <w:sz w:val="28"/>
              </w:rPr>
            </w:pPr>
            <w:r>
              <w:rPr>
                <w:rFonts w:hint="eastAsia" w:ascii="宋体" w:eastAsia="宋体"/>
                <w:w w:val="100"/>
                <w:sz w:val="28"/>
              </w:rPr>
              <w:t>：</w:t>
            </w:r>
          </w:p>
        </w:tc>
        <w:tc>
          <w:tcPr>
            <w:tcW w:w="2474" w:type="dxa"/>
          </w:tcPr>
          <w:p w14:paraId="14DFF8FD">
            <w:pPr>
              <w:pStyle w:val="15"/>
              <w:spacing w:before="5"/>
              <w:ind w:left="119"/>
              <w:jc w:val="left"/>
              <w:rPr>
                <w:rFonts w:hint="eastAsia" w:ascii="Microsoft JhengHei" w:eastAsia="Microsoft JhengHei"/>
                <w:b/>
                <w:sz w:val="28"/>
              </w:rPr>
            </w:pPr>
            <w:r>
              <w:rPr>
                <w:rFonts w:hint="eastAsia" w:ascii="Microsoft JhengHei" w:eastAsia="Microsoft JhengHei"/>
                <w:b/>
                <w:sz w:val="28"/>
              </w:rPr>
              <w:t>张东明</w:t>
            </w:r>
          </w:p>
        </w:tc>
      </w:tr>
      <w:tr w14:paraId="1A6B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570" w:type="dxa"/>
          </w:tcPr>
          <w:p w14:paraId="4CAD1F01">
            <w:pPr>
              <w:pStyle w:val="15"/>
              <w:jc w:val="left"/>
              <w:rPr>
                <w:sz w:val="26"/>
              </w:rPr>
            </w:pPr>
          </w:p>
        </w:tc>
        <w:tc>
          <w:tcPr>
            <w:tcW w:w="2982" w:type="dxa"/>
            <w:gridSpan w:val="2"/>
          </w:tcPr>
          <w:p w14:paraId="64972209">
            <w:pPr>
              <w:pStyle w:val="15"/>
              <w:spacing w:before="133" w:line="321" w:lineRule="exact"/>
              <w:ind w:left="87"/>
              <w:jc w:val="left"/>
              <w:rPr>
                <w:rFonts w:hint="eastAsia" w:ascii="宋体" w:eastAsia="宋体"/>
                <w:b/>
                <w:sz w:val="28"/>
              </w:rPr>
            </w:pPr>
            <w:r>
              <w:rPr>
                <w:b/>
                <w:sz w:val="28"/>
              </w:rPr>
              <w:t xml:space="preserve">20X X </w:t>
            </w:r>
            <w:r>
              <w:rPr>
                <w:rFonts w:hint="eastAsia" w:ascii="宋体" w:eastAsia="宋体"/>
                <w:b/>
                <w:sz w:val="28"/>
              </w:rPr>
              <w:t xml:space="preserve">年 </w:t>
            </w:r>
            <w:r>
              <w:rPr>
                <w:b/>
                <w:sz w:val="28"/>
              </w:rPr>
              <w:t xml:space="preserve">X </w:t>
            </w:r>
            <w:r>
              <w:rPr>
                <w:rFonts w:hint="eastAsia" w:ascii="宋体" w:eastAsia="宋体"/>
                <w:b/>
                <w:sz w:val="28"/>
              </w:rPr>
              <w:t xml:space="preserve">月 </w:t>
            </w:r>
            <w:r>
              <w:rPr>
                <w:b/>
                <w:sz w:val="28"/>
              </w:rPr>
              <w:t xml:space="preserve">XX </w:t>
            </w:r>
            <w:r>
              <w:rPr>
                <w:rFonts w:hint="eastAsia" w:ascii="宋体" w:eastAsia="宋体"/>
                <w:b/>
                <w:sz w:val="28"/>
              </w:rPr>
              <w:t>日</w:t>
            </w:r>
          </w:p>
        </w:tc>
      </w:tr>
    </w:tbl>
    <w:p w14:paraId="4A6E66AD">
      <w:pPr>
        <w:spacing w:after="0" w:line="321" w:lineRule="exact"/>
        <w:jc w:val="left"/>
        <w:rPr>
          <w:rFonts w:hint="eastAsia" w:ascii="宋体" w:eastAsia="宋体"/>
          <w:sz w:val="28"/>
        </w:rPr>
        <w:sectPr>
          <w:headerReference r:id="rId5" w:type="default"/>
          <w:pgSz w:w="11910" w:h="16840"/>
          <w:pgMar w:top="1580" w:right="900" w:bottom="280" w:left="1180" w:header="880" w:footer="0" w:gutter="0"/>
          <w:pgBorders>
            <w:top w:val="none" w:sz="0" w:space="0"/>
            <w:left w:val="none" w:sz="0" w:space="0"/>
            <w:bottom w:val="none" w:sz="0" w:space="0"/>
            <w:right w:val="none" w:sz="0" w:space="0"/>
          </w:pgBorders>
          <w:cols w:space="720" w:num="1"/>
        </w:sectPr>
      </w:pPr>
    </w:p>
    <w:p w14:paraId="5457CD28">
      <w:pPr>
        <w:pStyle w:val="8"/>
        <w:rPr>
          <w:sz w:val="20"/>
        </w:rPr>
      </w:pPr>
    </w:p>
    <w:p w14:paraId="63A01255">
      <w:pPr>
        <w:pStyle w:val="8"/>
        <w:rPr>
          <w:sz w:val="20"/>
        </w:rPr>
      </w:pPr>
    </w:p>
    <w:p w14:paraId="61C4C13C">
      <w:pPr>
        <w:pStyle w:val="8"/>
        <w:rPr>
          <w:sz w:val="20"/>
        </w:rPr>
      </w:pPr>
    </w:p>
    <w:p w14:paraId="5958B864">
      <w:pPr>
        <w:pStyle w:val="8"/>
        <w:rPr>
          <w:sz w:val="20"/>
        </w:rPr>
      </w:pPr>
    </w:p>
    <w:p w14:paraId="0F8A181A">
      <w:pPr>
        <w:pStyle w:val="8"/>
        <w:rPr>
          <w:sz w:val="20"/>
        </w:rPr>
      </w:pPr>
    </w:p>
    <w:p w14:paraId="5ED2C0CE">
      <w:pPr>
        <w:pStyle w:val="8"/>
        <w:rPr>
          <w:sz w:val="20"/>
        </w:rPr>
      </w:pPr>
    </w:p>
    <w:p w14:paraId="1ABC673E">
      <w:pPr>
        <w:pStyle w:val="8"/>
        <w:rPr>
          <w:sz w:val="20"/>
        </w:rPr>
      </w:pPr>
    </w:p>
    <w:p w14:paraId="115A3578">
      <w:pPr>
        <w:pStyle w:val="8"/>
        <w:rPr>
          <w:sz w:val="20"/>
        </w:rPr>
      </w:pPr>
    </w:p>
    <w:p w14:paraId="26C7A276">
      <w:pPr>
        <w:pStyle w:val="8"/>
        <w:rPr>
          <w:sz w:val="20"/>
        </w:rPr>
      </w:pPr>
    </w:p>
    <w:p w14:paraId="5683CAD6">
      <w:pPr>
        <w:pStyle w:val="8"/>
        <w:spacing w:before="4"/>
        <w:rPr>
          <w:sz w:val="22"/>
        </w:rPr>
      </w:pPr>
    </w:p>
    <w:p w14:paraId="2A662E0D">
      <w:pPr>
        <w:spacing w:before="38"/>
        <w:ind w:left="1187" w:right="1293" w:firstLine="0"/>
        <w:jc w:val="center"/>
        <w:rPr>
          <w:rFonts w:hint="eastAsia" w:ascii="黑体" w:eastAsia="黑体"/>
          <w:b/>
          <w:sz w:val="44"/>
        </w:rPr>
      </w:pPr>
      <w:r>
        <w:rPr>
          <w:rFonts w:hint="eastAsia" w:ascii="黑体" w:eastAsia="黑体"/>
          <w:b/>
          <w:sz w:val="44"/>
        </w:rPr>
        <w:t>资产证券化及其会计问题初探</w:t>
      </w:r>
    </w:p>
    <w:p w14:paraId="2C2CCDEA">
      <w:pPr>
        <w:pStyle w:val="8"/>
        <w:spacing w:before="1"/>
        <w:rPr>
          <w:rFonts w:ascii="黑体"/>
          <w:b/>
          <w:sz w:val="35"/>
        </w:rPr>
      </w:pPr>
    </w:p>
    <w:p w14:paraId="6577DD39">
      <w:pPr>
        <w:spacing w:before="0"/>
        <w:ind w:left="1187" w:right="1135" w:firstLine="0"/>
        <w:jc w:val="center"/>
        <w:rPr>
          <w:b/>
          <w:sz w:val="32"/>
        </w:rPr>
      </w:pPr>
      <w:r>
        <w:rPr>
          <w:sz w:val="32"/>
        </w:rPr>
        <w:t>张东明</w:t>
      </w:r>
      <w:r>
        <w:rPr>
          <w:b/>
          <w:w w:val="98"/>
          <w:sz w:val="32"/>
        </w:rPr>
        <w:t xml:space="preserve"> </w:t>
      </w:r>
    </w:p>
    <w:p w14:paraId="101804C0">
      <w:pPr>
        <w:pStyle w:val="8"/>
        <w:spacing w:before="4"/>
        <w:rPr>
          <w:b/>
          <w:sz w:val="37"/>
        </w:rPr>
      </w:pPr>
    </w:p>
    <w:p w14:paraId="297434BE">
      <w:pPr>
        <w:spacing w:before="0" w:line="295" w:lineRule="auto"/>
        <w:ind w:left="1187" w:right="1295" w:firstLine="0"/>
        <w:jc w:val="center"/>
        <w:rPr>
          <w:rFonts w:ascii="Times New Roman"/>
          <w:i/>
          <w:sz w:val="44"/>
        </w:rPr>
      </w:pPr>
      <w:r>
        <w:rPr>
          <w:rFonts w:ascii="Times New Roman"/>
          <w:i/>
          <w:sz w:val="44"/>
        </w:rPr>
        <w:t>Pilot Study of Asset Securitization and Its Accounting Problems</w:t>
      </w:r>
    </w:p>
    <w:p w14:paraId="50945B7C">
      <w:pPr>
        <w:spacing w:before="385"/>
        <w:ind w:left="1187" w:right="1291" w:firstLine="0"/>
        <w:jc w:val="center"/>
        <w:rPr>
          <w:rFonts w:ascii="Times New Roman"/>
          <w:i/>
          <w:sz w:val="32"/>
        </w:rPr>
      </w:pPr>
      <w:r>
        <w:rPr>
          <w:rFonts w:ascii="Times New Roman"/>
          <w:i/>
          <w:sz w:val="32"/>
        </w:rPr>
        <w:t>Zhang, Dong ming</w:t>
      </w:r>
    </w:p>
    <w:p w14:paraId="47825947">
      <w:pPr>
        <w:pStyle w:val="8"/>
        <w:rPr>
          <w:rFonts w:ascii="Times New Roman"/>
          <w:i/>
          <w:sz w:val="34"/>
        </w:rPr>
      </w:pPr>
    </w:p>
    <w:p w14:paraId="7ADFCC07">
      <w:pPr>
        <w:pStyle w:val="8"/>
        <w:rPr>
          <w:rFonts w:ascii="Times New Roman"/>
          <w:i/>
          <w:sz w:val="34"/>
        </w:rPr>
      </w:pPr>
    </w:p>
    <w:p w14:paraId="0A48C492">
      <w:pPr>
        <w:pStyle w:val="8"/>
        <w:rPr>
          <w:rFonts w:ascii="Times New Roman"/>
          <w:i/>
          <w:sz w:val="34"/>
        </w:rPr>
      </w:pPr>
    </w:p>
    <w:p w14:paraId="3796EB95">
      <w:pPr>
        <w:pStyle w:val="8"/>
        <w:rPr>
          <w:rFonts w:ascii="Times New Roman"/>
          <w:i/>
          <w:sz w:val="34"/>
        </w:rPr>
      </w:pPr>
    </w:p>
    <w:p w14:paraId="21D43F00">
      <w:pPr>
        <w:pStyle w:val="8"/>
        <w:rPr>
          <w:rFonts w:ascii="Times New Roman"/>
          <w:i/>
          <w:sz w:val="34"/>
        </w:rPr>
      </w:pPr>
    </w:p>
    <w:p w14:paraId="0AA69E74">
      <w:pPr>
        <w:pStyle w:val="8"/>
        <w:rPr>
          <w:rFonts w:ascii="Times New Roman"/>
          <w:i/>
          <w:sz w:val="34"/>
        </w:rPr>
      </w:pPr>
    </w:p>
    <w:p w14:paraId="4D666A5D">
      <w:pPr>
        <w:pStyle w:val="8"/>
        <w:rPr>
          <w:rFonts w:ascii="Times New Roman"/>
          <w:i/>
          <w:sz w:val="34"/>
        </w:rPr>
      </w:pPr>
    </w:p>
    <w:p w14:paraId="6D3E9D8C">
      <w:pPr>
        <w:pStyle w:val="8"/>
        <w:rPr>
          <w:rFonts w:ascii="Times New Roman"/>
          <w:i/>
          <w:sz w:val="34"/>
        </w:rPr>
      </w:pPr>
    </w:p>
    <w:p w14:paraId="69460010">
      <w:pPr>
        <w:pStyle w:val="8"/>
        <w:rPr>
          <w:rFonts w:ascii="Times New Roman"/>
          <w:i/>
          <w:sz w:val="34"/>
        </w:rPr>
      </w:pPr>
    </w:p>
    <w:p w14:paraId="1F12E124">
      <w:pPr>
        <w:pStyle w:val="8"/>
        <w:rPr>
          <w:rFonts w:ascii="Times New Roman"/>
          <w:i/>
          <w:sz w:val="34"/>
        </w:rPr>
      </w:pPr>
    </w:p>
    <w:p w14:paraId="0B75F678">
      <w:pPr>
        <w:pStyle w:val="8"/>
        <w:rPr>
          <w:rFonts w:ascii="Times New Roman"/>
          <w:i/>
          <w:sz w:val="34"/>
        </w:rPr>
      </w:pPr>
    </w:p>
    <w:p w14:paraId="11FD5EFE">
      <w:pPr>
        <w:pStyle w:val="8"/>
        <w:rPr>
          <w:rFonts w:ascii="Times New Roman"/>
          <w:i/>
          <w:sz w:val="34"/>
        </w:rPr>
      </w:pPr>
    </w:p>
    <w:p w14:paraId="4D6FA1EF">
      <w:pPr>
        <w:pStyle w:val="8"/>
        <w:rPr>
          <w:rFonts w:ascii="Times New Roman"/>
          <w:i/>
          <w:sz w:val="34"/>
        </w:rPr>
      </w:pPr>
    </w:p>
    <w:p w14:paraId="7AE60818">
      <w:pPr>
        <w:pStyle w:val="8"/>
        <w:rPr>
          <w:rFonts w:ascii="Times New Roman"/>
          <w:i/>
          <w:sz w:val="34"/>
        </w:rPr>
      </w:pPr>
    </w:p>
    <w:p w14:paraId="3B9A05CB">
      <w:pPr>
        <w:spacing w:before="222"/>
        <w:ind w:left="1183" w:right="1295" w:firstLine="0"/>
        <w:jc w:val="center"/>
        <w:rPr>
          <w:b/>
          <w:sz w:val="32"/>
        </w:rPr>
      </w:pPr>
      <w:r>
        <w:rPr>
          <w:rFonts w:ascii="Times New Roman" w:eastAsia="Times New Roman"/>
          <w:b/>
          <w:sz w:val="32"/>
        </w:rPr>
        <w:t xml:space="preserve">20XX </w:t>
      </w:r>
      <w:r>
        <w:rPr>
          <w:b/>
          <w:sz w:val="32"/>
        </w:rPr>
        <w:t xml:space="preserve">年 </w:t>
      </w:r>
      <w:r>
        <w:rPr>
          <w:rFonts w:ascii="Times New Roman" w:eastAsia="Times New Roman"/>
          <w:b/>
          <w:sz w:val="32"/>
        </w:rPr>
        <w:t xml:space="preserve">X  </w:t>
      </w:r>
      <w:r>
        <w:rPr>
          <w:b/>
          <w:sz w:val="32"/>
        </w:rPr>
        <w:t xml:space="preserve">月 </w:t>
      </w:r>
      <w:r>
        <w:rPr>
          <w:rFonts w:ascii="Times New Roman" w:eastAsia="Times New Roman"/>
          <w:b/>
          <w:sz w:val="32"/>
        </w:rPr>
        <w:t xml:space="preserve">XX </w:t>
      </w:r>
      <w:r>
        <w:rPr>
          <w:b/>
          <w:sz w:val="32"/>
        </w:rPr>
        <w:t>日</w:t>
      </w:r>
    </w:p>
    <w:p w14:paraId="7EA19D3A">
      <w:pPr>
        <w:spacing w:after="0"/>
        <w:jc w:val="center"/>
        <w:rPr>
          <w:sz w:val="32"/>
        </w:rPr>
        <w:sectPr>
          <w:pgSz w:w="11910" w:h="16840"/>
          <w:pgMar w:top="1580" w:right="900" w:bottom="280" w:left="1180" w:header="880" w:footer="0" w:gutter="0"/>
          <w:pgBorders>
            <w:top w:val="none" w:sz="0" w:space="0"/>
            <w:left w:val="none" w:sz="0" w:space="0"/>
            <w:bottom w:val="none" w:sz="0" w:space="0"/>
            <w:right w:val="none" w:sz="0" w:space="0"/>
          </w:pgBorders>
          <w:cols w:space="720" w:num="1"/>
        </w:sectPr>
      </w:pPr>
    </w:p>
    <w:p w14:paraId="472B9C20">
      <w:pPr>
        <w:pStyle w:val="8"/>
        <w:spacing w:before="7"/>
        <w:rPr>
          <w:b/>
          <w:sz w:val="10"/>
        </w:rPr>
      </w:pPr>
    </w:p>
    <w:p w14:paraId="17160224">
      <w:pPr>
        <w:spacing w:before="50"/>
        <w:ind w:left="0" w:right="4242" w:firstLine="0"/>
        <w:jc w:val="right"/>
        <w:rPr>
          <w:b/>
          <w:sz w:val="36"/>
        </w:rPr>
      </w:pPr>
      <w:r>
        <w:rPr>
          <w:b/>
          <w:spacing w:val="58"/>
          <w:sz w:val="36"/>
        </w:rPr>
        <w:t>摘 要</w:t>
      </w:r>
    </w:p>
    <w:p w14:paraId="3BFC805E">
      <w:pPr>
        <w:pStyle w:val="8"/>
        <w:spacing w:before="1"/>
        <w:rPr>
          <w:b/>
          <w:sz w:val="39"/>
        </w:rPr>
      </w:pPr>
    </w:p>
    <w:p w14:paraId="6C8CD487">
      <w:pPr>
        <w:spacing w:before="0"/>
        <w:ind w:left="598" w:right="0" w:firstLine="0"/>
        <w:jc w:val="left"/>
        <w:rPr>
          <w:rFonts w:hint="eastAsia" w:ascii="楷体" w:eastAsia="楷体"/>
          <w:sz w:val="18"/>
        </w:rPr>
      </w:pPr>
      <w:r>
        <w:rPr>
          <w:rFonts w:hint="eastAsia" w:ascii="楷体" w:eastAsia="楷体"/>
          <w:sz w:val="18"/>
        </w:rPr>
        <w:t>（选题动机与研究动态简要描述）</w:t>
      </w:r>
    </w:p>
    <w:p w14:paraId="7079B884">
      <w:pPr>
        <w:pStyle w:val="8"/>
        <w:spacing w:before="70" w:line="280" w:lineRule="auto"/>
        <w:ind w:left="238" w:right="344" w:firstLine="480"/>
      </w:pPr>
      <w:r>
        <w:rPr>
          <w:spacing w:val="-9"/>
        </w:rPr>
        <w:t xml:space="preserve">资产证券化融资方式是……。近年来，国内外学者围绕这一主题的研究成果甚丰…… </w:t>
      </w:r>
      <w:r>
        <w:t xml:space="preserve">但与……有一定差距，特别是从会计角度分析更有许多问题值得研究。 </w:t>
      </w:r>
    </w:p>
    <w:p w14:paraId="24F75A21">
      <w:pPr>
        <w:spacing w:before="60"/>
        <w:ind w:left="598" w:right="0" w:firstLine="0"/>
        <w:jc w:val="left"/>
        <w:rPr>
          <w:rFonts w:hint="eastAsia" w:ascii="楷体" w:eastAsia="楷体"/>
          <w:sz w:val="18"/>
        </w:rPr>
      </w:pPr>
      <w:r>
        <w:rPr>
          <w:rFonts w:hint="eastAsia" w:ascii="楷体" w:eastAsia="楷体"/>
          <w:sz w:val="18"/>
        </w:rPr>
        <w:t>（中心思想的概括性描述）</w:t>
      </w:r>
    </w:p>
    <w:p w14:paraId="11509EAC">
      <w:pPr>
        <w:pStyle w:val="8"/>
        <w:spacing w:before="69" w:line="280" w:lineRule="auto"/>
        <w:ind w:left="238" w:right="341" w:firstLine="480"/>
        <w:jc w:val="both"/>
      </w:pPr>
      <w:r>
        <w:rPr>
          <w:spacing w:val="-7"/>
        </w:rPr>
        <w:t>本文集中阐述了资产证券化的相关概念及内涵，围绕资产证券化实施可能引起的会计</w:t>
      </w:r>
      <w:r>
        <w:rPr>
          <w:spacing w:val="-9"/>
        </w:rPr>
        <w:t>问题做了相应的分析……，剖析了……，讨论了……，就……提出了个人的看法，并预测</w:t>
      </w:r>
      <w:r>
        <w:t xml:space="preserve">了……。 </w:t>
      </w:r>
    </w:p>
    <w:p w14:paraId="26945BE8">
      <w:pPr>
        <w:spacing w:before="62"/>
        <w:ind w:left="598" w:right="0" w:firstLine="0"/>
        <w:jc w:val="left"/>
        <w:rPr>
          <w:rFonts w:hint="eastAsia" w:ascii="楷体" w:eastAsia="楷体"/>
          <w:sz w:val="18"/>
        </w:rPr>
      </w:pPr>
      <w:r>
        <w:rPr>
          <w:rFonts w:hint="eastAsia" w:ascii="楷体" w:eastAsia="楷体"/>
          <w:sz w:val="18"/>
        </w:rPr>
        <w:t>（研究方法与研究内容简要描述）</w:t>
      </w:r>
    </w:p>
    <w:p w14:paraId="364EDA3E">
      <w:pPr>
        <w:pStyle w:val="8"/>
        <w:spacing w:before="69" w:line="280" w:lineRule="auto"/>
        <w:ind w:left="238" w:right="344" w:firstLine="480"/>
        <w:jc w:val="both"/>
      </w:pPr>
      <w:r>
        <w:rPr>
          <w:spacing w:val="-4"/>
        </w:rPr>
        <w:t xml:space="preserve">本文系运用规范研究方法进行的专题研究。全文分 </w:t>
      </w:r>
      <w:r>
        <w:t>X</w:t>
      </w:r>
      <w:r>
        <w:rPr>
          <w:spacing w:val="-9"/>
        </w:rPr>
        <w:t xml:space="preserve"> 个部分：首先</w:t>
      </w:r>
      <w:r>
        <w:t>（第一部分</w:t>
      </w:r>
      <w:r>
        <w:rPr>
          <w:spacing w:val="-120"/>
        </w:rPr>
        <w:t>）</w:t>
      </w:r>
      <w:r>
        <w:rPr>
          <w:spacing w:val="-8"/>
        </w:rPr>
        <w:t>，是</w:t>
      </w:r>
      <w:r>
        <w:t>讨论了资产证券化的内涵、运作原理以及……其次（第二部分</w:t>
      </w:r>
      <w:r>
        <w:rPr>
          <w:spacing w:val="-120"/>
        </w:rPr>
        <w:t>）</w:t>
      </w:r>
      <w:r>
        <w:rPr>
          <w:spacing w:val="-2"/>
        </w:rPr>
        <w:t>，是从会计核算角度对其</w:t>
      </w:r>
      <w:r>
        <w:t xml:space="preserve">业务拓展及投资效益进行了分析……最后，是对资产证券化……做了展望与分析。 </w:t>
      </w:r>
    </w:p>
    <w:p w14:paraId="3BAEDCC8">
      <w:pPr>
        <w:spacing w:before="61"/>
        <w:ind w:left="598" w:right="0" w:firstLine="0"/>
        <w:jc w:val="left"/>
        <w:rPr>
          <w:rFonts w:hint="eastAsia" w:ascii="楷体" w:eastAsia="楷体"/>
          <w:sz w:val="18"/>
        </w:rPr>
      </w:pPr>
      <w:r>
        <w:rPr>
          <w:rFonts w:hint="eastAsia" w:ascii="楷体" w:eastAsia="楷体"/>
          <w:sz w:val="18"/>
        </w:rPr>
        <w:t>（作者文中创新观点的简要归纳）</w:t>
      </w:r>
    </w:p>
    <w:p w14:paraId="051AC79E">
      <w:pPr>
        <w:pStyle w:val="8"/>
        <w:spacing w:before="24"/>
        <w:ind w:left="658"/>
      </w:pPr>
      <w:r>
        <w:t xml:space="preserve">本文主要创新体现在……… </w:t>
      </w:r>
    </w:p>
    <w:p w14:paraId="3EDDE366">
      <w:pPr>
        <w:pStyle w:val="8"/>
        <w:spacing w:before="11"/>
        <w:rPr>
          <w:sz w:val="30"/>
        </w:rPr>
      </w:pPr>
    </w:p>
    <w:p w14:paraId="0DFCD585">
      <w:pPr>
        <w:spacing w:before="0"/>
        <w:ind w:left="0" w:right="4312" w:firstLine="0"/>
        <w:jc w:val="right"/>
        <w:rPr>
          <w:sz w:val="24"/>
        </w:rPr>
      </w:pPr>
      <w:r>
        <w:rPr>
          <w:b/>
          <w:sz w:val="36"/>
        </w:rPr>
        <w:t>关键词：</w:t>
      </w:r>
      <w:r>
        <w:rPr>
          <w:sz w:val="24"/>
        </w:rPr>
        <w:t>资产证券化；会计核算；效益</w:t>
      </w:r>
    </w:p>
    <w:p w14:paraId="650E4439">
      <w:pPr>
        <w:spacing w:after="0"/>
        <w:jc w:val="right"/>
        <w:rPr>
          <w:sz w:val="24"/>
        </w:rPr>
        <w:sectPr>
          <w:footerReference r:id="rId6" w:type="default"/>
          <w:pgSz w:w="11910" w:h="16840"/>
          <w:pgMar w:top="1580" w:right="900" w:bottom="1180" w:left="1180" w:header="880" w:footer="990" w:gutter="0"/>
          <w:pgBorders>
            <w:top w:val="none" w:sz="0" w:space="0"/>
            <w:left w:val="none" w:sz="0" w:space="0"/>
            <w:bottom w:val="none" w:sz="0" w:space="0"/>
            <w:right w:val="none" w:sz="0" w:space="0"/>
          </w:pgBorders>
          <w:pgNumType w:start="1"/>
          <w:cols w:space="720" w:num="1"/>
        </w:sectPr>
      </w:pPr>
    </w:p>
    <w:p w14:paraId="65B768C0">
      <w:pPr>
        <w:pStyle w:val="8"/>
        <w:rPr>
          <w:sz w:val="20"/>
        </w:rPr>
      </w:pPr>
    </w:p>
    <w:p w14:paraId="3ABA59D0">
      <w:pPr>
        <w:pStyle w:val="8"/>
        <w:rPr>
          <w:sz w:val="14"/>
        </w:rPr>
      </w:pPr>
    </w:p>
    <w:p w14:paraId="0095DE95">
      <w:pPr>
        <w:spacing w:before="85"/>
        <w:ind w:left="1187" w:right="1293" w:firstLine="0"/>
        <w:jc w:val="center"/>
        <w:rPr>
          <w:rFonts w:ascii="Times New Roman"/>
          <w:b/>
          <w:sz w:val="36"/>
        </w:rPr>
      </w:pPr>
      <w:r>
        <w:rPr>
          <w:rFonts w:ascii="Times New Roman"/>
          <w:b/>
          <w:sz w:val="36"/>
        </w:rPr>
        <w:t>Abstract</w:t>
      </w:r>
    </w:p>
    <w:p w14:paraId="1AB822B1">
      <w:pPr>
        <w:pStyle w:val="8"/>
        <w:spacing w:before="9"/>
        <w:rPr>
          <w:rFonts w:ascii="Times New Roman"/>
          <w:b/>
          <w:sz w:val="37"/>
        </w:rPr>
      </w:pPr>
    </w:p>
    <w:p w14:paraId="1CB55DE1">
      <w:pPr>
        <w:pStyle w:val="8"/>
        <w:spacing w:before="1" w:line="271" w:lineRule="auto"/>
        <w:ind w:left="238" w:right="344" w:firstLine="240"/>
        <w:jc w:val="both"/>
        <w:rPr>
          <w:rFonts w:ascii="Times New Roman" w:hAnsi="Times New Roman"/>
        </w:rPr>
      </w:pPr>
      <w:r>
        <w:rPr>
          <w:rFonts w:ascii="Times New Roman" w:hAnsi="Times New Roman"/>
        </w:rPr>
        <w:t>Asset-backed securitization financing is … Recently the scholars all over the world have done much research on the subject and their research findings are extremely fruitful. However, there is a certain extent of difference between … and …In particular, great deals of issues are worth studying from the point of accounting.</w:t>
      </w:r>
    </w:p>
    <w:p w14:paraId="3723CF25">
      <w:pPr>
        <w:pStyle w:val="8"/>
        <w:spacing w:line="271" w:lineRule="auto"/>
        <w:ind w:left="238" w:right="344" w:firstLine="240"/>
        <w:jc w:val="both"/>
        <w:rPr>
          <w:rFonts w:ascii="Times New Roman" w:hAnsi="Times New Roman"/>
        </w:rPr>
      </w:pPr>
      <w:r>
        <w:rPr>
          <w:rFonts w:ascii="Times New Roman" w:hAnsi="Times New Roman"/>
        </w:rPr>
        <w:t>The paper focuses on asset securitization and its related concept and connotation. It analyses accounting problems probably arising from putting asset securitization in practice and … is taken part. And it discusses …, puts forward the personal view based on … and forecasts…</w:t>
      </w:r>
    </w:p>
    <w:p w14:paraId="4F6CE9BD">
      <w:pPr>
        <w:pStyle w:val="8"/>
        <w:spacing w:before="1" w:line="271" w:lineRule="auto"/>
        <w:ind w:left="238" w:right="341" w:firstLine="240"/>
        <w:jc w:val="both"/>
        <w:rPr>
          <w:rFonts w:ascii="Times New Roman" w:hAnsi="Times New Roman"/>
        </w:rPr>
      </w:pPr>
      <w:r>
        <w:rPr>
          <w:rFonts w:ascii="Times New Roman" w:hAnsi="Times New Roman"/>
        </w:rPr>
        <w:t>The paper describes a special topic in the normative method of research. It is divided into … sections. First, the asset securitization’s connotation, operating principles and … are discussed. (The first part discusses the asset securitization’s connotation, operating principles and …) Second, its expanding business and investment income are analyzed according to accounting. Finally, it prospects and analyses … of asset securitization.</w:t>
      </w:r>
    </w:p>
    <w:p w14:paraId="3BB16BA0">
      <w:pPr>
        <w:pStyle w:val="8"/>
        <w:spacing w:before="1"/>
        <w:ind w:left="478"/>
        <w:jc w:val="both"/>
        <w:rPr>
          <w:rFonts w:ascii="Times New Roman" w:hAnsi="Times New Roman"/>
        </w:rPr>
      </w:pPr>
      <w:r>
        <w:rPr>
          <w:rFonts w:ascii="Times New Roman" w:hAnsi="Times New Roman"/>
        </w:rPr>
        <w:t>The main innovation in the paper is reflected in …</w:t>
      </w:r>
    </w:p>
    <w:p w14:paraId="7EF68CCD">
      <w:pPr>
        <w:pStyle w:val="8"/>
        <w:spacing w:before="9"/>
        <w:rPr>
          <w:rFonts w:ascii="Times New Roman"/>
          <w:sz w:val="37"/>
        </w:rPr>
      </w:pPr>
    </w:p>
    <w:p w14:paraId="77C374B5">
      <w:pPr>
        <w:pStyle w:val="8"/>
        <w:spacing w:before="1"/>
        <w:ind w:left="238"/>
        <w:rPr>
          <w:rFonts w:ascii="Times New Roman"/>
        </w:rPr>
      </w:pPr>
      <w:r>
        <w:rPr>
          <w:rFonts w:ascii="Times New Roman"/>
          <w:b/>
          <w:sz w:val="36"/>
        </w:rPr>
        <w:t xml:space="preserve">Keywords: </w:t>
      </w:r>
      <w:r>
        <w:rPr>
          <w:rFonts w:ascii="Times New Roman"/>
        </w:rPr>
        <w:t>Asset securitization; accounting; benefit</w:t>
      </w:r>
    </w:p>
    <w:p w14:paraId="64E238B4">
      <w:pPr>
        <w:spacing w:after="0"/>
        <w:rPr>
          <w:rFonts w:ascii="Times New Roman"/>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14:paraId="789D6867">
      <w:pPr>
        <w:pStyle w:val="8"/>
        <w:rPr>
          <w:rFonts w:ascii="Times New Roman"/>
          <w:sz w:val="20"/>
        </w:rPr>
      </w:pPr>
    </w:p>
    <w:p w14:paraId="780BE575">
      <w:pPr>
        <w:pStyle w:val="8"/>
        <w:spacing w:before="10"/>
        <w:rPr>
          <w:rFonts w:ascii="Times New Roman"/>
          <w:sz w:val="18"/>
        </w:rPr>
      </w:pPr>
    </w:p>
    <w:p w14:paraId="16B40AF2">
      <w:pPr>
        <w:pStyle w:val="3"/>
        <w:tabs>
          <w:tab w:val="left" w:pos="724"/>
        </w:tabs>
        <w:ind w:left="0" w:right="105"/>
      </w:pPr>
      <w:r>
        <w:t>目</w:t>
      </w:r>
      <w:r>
        <w:tab/>
      </w:r>
      <w:r>
        <w:t>录</w:t>
      </w:r>
    </w:p>
    <w:sdt>
      <w:sdtPr>
        <w:id w:val="1"/>
        <w:docPartObj>
          <w:docPartGallery w:val="Table of Contents"/>
          <w:docPartUnique/>
        </w:docPartObj>
      </w:sdtPr>
      <w:sdtContent>
        <w:p w14:paraId="357CBDAF">
          <w:pPr>
            <w:pStyle w:val="9"/>
            <w:tabs>
              <w:tab w:val="left" w:pos="812"/>
              <w:tab w:val="right" w:leader="dot" w:pos="9483"/>
            </w:tabs>
            <w:spacing w:before="526"/>
            <w:rPr>
              <w:rFonts w:ascii="Times New Roman" w:eastAsia="Times New Roman"/>
            </w:rPr>
          </w:pPr>
          <w:r>
            <w:fldChar w:fldCharType="begin"/>
          </w:r>
          <w:r>
            <w:instrText xml:space="preserve"> HYPERLINK \l "_TOC_250007" </w:instrText>
          </w:r>
          <w:r>
            <w:fldChar w:fldCharType="separate"/>
          </w:r>
          <w:r>
            <w:t>引</w:t>
          </w:r>
          <w:r>
            <w:tab/>
          </w:r>
          <w:r>
            <w:t>论</w:t>
          </w:r>
          <w:r>
            <w:tab/>
          </w:r>
          <w:r>
            <w:rPr>
              <w:rFonts w:ascii="Times New Roman" w:eastAsia="Times New Roman"/>
            </w:rPr>
            <w:t>1</w:t>
          </w:r>
          <w:r>
            <w:rPr>
              <w:rFonts w:ascii="Times New Roman" w:eastAsia="Times New Roman"/>
            </w:rPr>
            <w:fldChar w:fldCharType="end"/>
          </w:r>
        </w:p>
        <w:p w14:paraId="1D3A0C5F">
          <w:pPr>
            <w:pStyle w:val="9"/>
            <w:tabs>
              <w:tab w:val="right" w:leader="dot" w:pos="9481"/>
            </w:tabs>
            <w:spacing w:before="421"/>
            <w:rPr>
              <w:rFonts w:ascii="Times New Roman" w:eastAsia="Times New Roman"/>
            </w:rPr>
          </w:pPr>
          <w:r>
            <w:fldChar w:fldCharType="begin"/>
          </w:r>
          <w:r>
            <w:instrText xml:space="preserve"> HYPERLINK \l "_TOC_250006" </w:instrText>
          </w:r>
          <w:r>
            <w:fldChar w:fldCharType="separate"/>
          </w:r>
          <w:r>
            <w:rPr>
              <w:spacing w:val="23"/>
            </w:rPr>
            <w:t>一</w:t>
          </w:r>
          <w:r>
            <w:rPr>
              <w:spacing w:val="21"/>
            </w:rPr>
            <w:t>、</w:t>
          </w:r>
          <w:r>
            <w:rPr>
              <w:spacing w:val="23"/>
            </w:rPr>
            <w:t>资</w:t>
          </w:r>
          <w:r>
            <w:rPr>
              <w:spacing w:val="21"/>
            </w:rPr>
            <w:t>产证</w:t>
          </w:r>
          <w:r>
            <w:rPr>
              <w:spacing w:val="23"/>
            </w:rPr>
            <w:t>券</w:t>
          </w:r>
          <w:r>
            <w:rPr>
              <w:spacing w:val="21"/>
            </w:rPr>
            <w:t>化的</w:t>
          </w:r>
          <w:r>
            <w:rPr>
              <w:spacing w:val="23"/>
            </w:rPr>
            <w:t>基</w:t>
          </w:r>
          <w:r>
            <w:rPr>
              <w:spacing w:val="21"/>
            </w:rPr>
            <w:t>本</w:t>
          </w:r>
          <w:r>
            <w:rPr>
              <w:spacing w:val="23"/>
            </w:rPr>
            <w:t>原</w:t>
          </w:r>
          <w:r>
            <w:t>理</w:t>
          </w:r>
          <w:r>
            <w:tab/>
          </w:r>
          <w:r>
            <w:rPr>
              <w:rFonts w:ascii="Times New Roman" w:eastAsia="Times New Roman"/>
            </w:rPr>
            <w:t>1</w:t>
          </w:r>
          <w:r>
            <w:rPr>
              <w:rFonts w:ascii="Times New Roman" w:eastAsia="Times New Roman"/>
            </w:rPr>
            <w:fldChar w:fldCharType="end"/>
          </w:r>
        </w:p>
        <w:p w14:paraId="5E27949C">
          <w:pPr>
            <w:pStyle w:val="10"/>
            <w:tabs>
              <w:tab w:val="left" w:leader="dot" w:pos="9365"/>
            </w:tabs>
            <w:spacing w:before="330"/>
          </w:pPr>
          <w:r>
            <w:t>（一</w:t>
          </w:r>
          <w:r>
            <w:rPr>
              <w:spacing w:val="-22"/>
            </w:rPr>
            <w:t>）</w:t>
          </w:r>
          <w:r>
            <w:t>资产证券化内涵与分类</w:t>
          </w:r>
          <w:r>
            <w:tab/>
          </w:r>
          <w:r>
            <w:rPr>
              <w:rFonts w:ascii="Times New Roman" w:eastAsia="Times New Roman"/>
              <w:b/>
              <w:spacing w:val="-5"/>
            </w:rPr>
            <w:t>1</w:t>
          </w:r>
          <w:r>
            <w:t xml:space="preserve"> </w:t>
          </w:r>
        </w:p>
        <w:p w14:paraId="7642308B">
          <w:pPr>
            <w:pStyle w:val="10"/>
            <w:tabs>
              <w:tab w:val="right" w:leader="dot" w:pos="9480"/>
            </w:tabs>
            <w:spacing w:before="81"/>
            <w:rPr>
              <w:rFonts w:ascii="Times New Roman" w:eastAsia="Times New Roman"/>
              <w:b/>
            </w:rPr>
          </w:pPr>
          <w:r>
            <w:t>（二</w:t>
          </w:r>
          <w:r>
            <w:rPr>
              <w:spacing w:val="-53"/>
            </w:rPr>
            <w:t>）</w:t>
          </w:r>
          <w:r>
            <w:t>资产证券化的交易特点</w:t>
          </w:r>
          <w:r>
            <w:tab/>
          </w:r>
          <w:r>
            <w:rPr>
              <w:rFonts w:ascii="Times New Roman" w:eastAsia="Times New Roman"/>
              <w:b/>
            </w:rPr>
            <w:t>X</w:t>
          </w:r>
        </w:p>
        <w:p w14:paraId="4835769D">
          <w:pPr>
            <w:pStyle w:val="10"/>
            <w:tabs>
              <w:tab w:val="right" w:leader="dot" w:pos="9480"/>
            </w:tabs>
            <w:rPr>
              <w:rFonts w:ascii="Times New Roman" w:eastAsia="Times New Roman"/>
              <w:b/>
            </w:rPr>
          </w:pPr>
          <w:r>
            <w:fldChar w:fldCharType="begin"/>
          </w:r>
          <w:r>
            <w:instrText xml:space="preserve"> HYPERLINK \l "_TOC_250005" </w:instrText>
          </w:r>
          <w:r>
            <w:fldChar w:fldCharType="separate"/>
          </w:r>
          <w:r>
            <w:t>（三</w:t>
          </w:r>
          <w:r>
            <w:rPr>
              <w:spacing w:val="-53"/>
            </w:rPr>
            <w:t>）</w:t>
          </w:r>
          <w:r>
            <w:t>资产证券化的运作方式</w:t>
          </w:r>
          <w:r>
            <w:tab/>
          </w:r>
          <w:r>
            <w:rPr>
              <w:rFonts w:ascii="Times New Roman" w:eastAsia="Times New Roman"/>
              <w:b/>
            </w:rPr>
            <w:t>X</w:t>
          </w:r>
          <w:r>
            <w:rPr>
              <w:rFonts w:ascii="Times New Roman" w:eastAsia="Times New Roman"/>
              <w:b/>
            </w:rPr>
            <w:fldChar w:fldCharType="end"/>
          </w:r>
        </w:p>
        <w:p w14:paraId="0CD534BF">
          <w:pPr>
            <w:pStyle w:val="10"/>
            <w:spacing w:before="81"/>
          </w:pPr>
          <w:r>
            <w:t xml:space="preserve">（四）…… </w:t>
          </w:r>
        </w:p>
        <w:p w14:paraId="33FA43AA">
          <w:pPr>
            <w:pStyle w:val="10"/>
          </w:pPr>
          <w:r>
            <w:t xml:space="preserve">………… </w:t>
          </w:r>
        </w:p>
        <w:p w14:paraId="435F54E1">
          <w:pPr>
            <w:pStyle w:val="9"/>
            <w:tabs>
              <w:tab w:val="right" w:leader="dot" w:pos="9483"/>
            </w:tabs>
            <w:rPr>
              <w:rFonts w:ascii="Times New Roman" w:eastAsia="Times New Roman"/>
            </w:rPr>
          </w:pPr>
          <w:r>
            <w:fldChar w:fldCharType="begin"/>
          </w:r>
          <w:r>
            <w:instrText xml:space="preserve"> HYPERLINK \l "_TOC_250004" </w:instrText>
          </w:r>
          <w:r>
            <w:fldChar w:fldCharType="separate"/>
          </w:r>
          <w:r>
            <w:t>二、资产证券化所涉及的会计问题分析</w:t>
          </w:r>
          <w:r>
            <w:tab/>
          </w:r>
          <w:r>
            <w:rPr>
              <w:rFonts w:ascii="Times New Roman" w:eastAsia="Times New Roman"/>
            </w:rPr>
            <w:t>X</w:t>
          </w:r>
          <w:r>
            <w:rPr>
              <w:rFonts w:ascii="Times New Roman" w:eastAsia="Times New Roman"/>
            </w:rPr>
            <w:fldChar w:fldCharType="end"/>
          </w:r>
        </w:p>
        <w:p w14:paraId="569B918C">
          <w:pPr>
            <w:pStyle w:val="10"/>
            <w:spacing w:before="330"/>
          </w:pPr>
          <w:r>
            <w:t>（一）……</w:t>
          </w:r>
        </w:p>
        <w:p w14:paraId="67205407">
          <w:pPr>
            <w:pStyle w:val="10"/>
          </w:pPr>
          <w:r>
            <w:t xml:space="preserve">………… </w:t>
          </w:r>
        </w:p>
        <w:p w14:paraId="3621C2AF">
          <w:pPr>
            <w:pStyle w:val="9"/>
            <w:tabs>
              <w:tab w:val="left" w:pos="805"/>
              <w:tab w:val="right" w:leader="dot" w:pos="9479"/>
            </w:tabs>
            <w:rPr>
              <w:rFonts w:ascii="Times New Roman" w:eastAsia="Times New Roman"/>
            </w:rPr>
          </w:pPr>
          <w:r>
            <w:fldChar w:fldCharType="begin"/>
          </w:r>
          <w:r>
            <w:instrText xml:space="preserve"> HYPERLINK \l "_TOC_250003" </w:instrText>
          </w:r>
          <w:r>
            <w:fldChar w:fldCharType="separate"/>
          </w:r>
          <w:r>
            <w:t>结</w:t>
          </w:r>
          <w:r>
            <w:tab/>
          </w:r>
          <w:r>
            <w:t>语</w:t>
          </w:r>
          <w:r>
            <w:tab/>
          </w:r>
          <w:r>
            <w:rPr>
              <w:rFonts w:ascii="Times New Roman" w:eastAsia="Times New Roman"/>
            </w:rPr>
            <w:t>X</w:t>
          </w:r>
          <w:r>
            <w:rPr>
              <w:rFonts w:ascii="Times New Roman" w:eastAsia="Times New Roman"/>
            </w:rPr>
            <w:fldChar w:fldCharType="end"/>
          </w:r>
        </w:p>
        <w:p w14:paraId="5E6C8890">
          <w:pPr>
            <w:pStyle w:val="9"/>
            <w:tabs>
              <w:tab w:val="right" w:leader="dot" w:pos="9483"/>
            </w:tabs>
            <w:spacing w:before="421"/>
            <w:rPr>
              <w:rFonts w:ascii="Times New Roman" w:eastAsia="Times New Roman"/>
            </w:rPr>
          </w:pPr>
          <w:r>
            <w:fldChar w:fldCharType="begin"/>
          </w:r>
          <w:r>
            <w:instrText xml:space="preserve"> HYPERLINK \l "_TOC_250002" </w:instrText>
          </w:r>
          <w:r>
            <w:fldChar w:fldCharType="separate"/>
          </w:r>
          <w:r>
            <w:rPr>
              <w:spacing w:val="11"/>
            </w:rPr>
            <w:t>主</w:t>
          </w:r>
          <w:r>
            <w:rPr>
              <w:spacing w:val="9"/>
            </w:rPr>
            <w:t>要</w:t>
          </w:r>
          <w:r>
            <w:rPr>
              <w:spacing w:val="11"/>
            </w:rPr>
            <w:t>参</w:t>
          </w:r>
          <w:r>
            <w:rPr>
              <w:spacing w:val="9"/>
            </w:rPr>
            <w:t>考</w:t>
          </w:r>
          <w:r>
            <w:rPr>
              <w:spacing w:val="11"/>
            </w:rPr>
            <w:t>文</w:t>
          </w:r>
          <w:r>
            <w:t>献</w:t>
          </w:r>
          <w:r>
            <w:tab/>
          </w:r>
          <w:r>
            <w:rPr>
              <w:rFonts w:ascii="Times New Roman" w:eastAsia="Times New Roman"/>
            </w:rPr>
            <w:t>X</w:t>
          </w:r>
          <w:r>
            <w:rPr>
              <w:rFonts w:ascii="Times New Roman" w:eastAsia="Times New Roman"/>
            </w:rPr>
            <w:fldChar w:fldCharType="end"/>
          </w:r>
        </w:p>
        <w:p w14:paraId="4C274436">
          <w:pPr>
            <w:pStyle w:val="9"/>
            <w:tabs>
              <w:tab w:val="left" w:pos="860"/>
              <w:tab w:val="right" w:leader="dot" w:pos="9481"/>
            </w:tabs>
            <w:spacing w:before="421"/>
            <w:rPr>
              <w:rFonts w:ascii="Times New Roman" w:eastAsia="Times New Roman"/>
            </w:rPr>
          </w:pPr>
          <w:r>
            <w:fldChar w:fldCharType="begin"/>
          </w:r>
          <w:r>
            <w:instrText xml:space="preserve"> HYPERLINK \l "_TOC_250001" </w:instrText>
          </w:r>
          <w:r>
            <w:fldChar w:fldCharType="separate"/>
          </w:r>
          <w:r>
            <w:t>附</w:t>
          </w:r>
          <w:r>
            <w:tab/>
          </w:r>
          <w:r>
            <w:t>录</w:t>
          </w:r>
          <w:r>
            <w:tab/>
          </w:r>
          <w:r>
            <w:rPr>
              <w:rFonts w:ascii="Times New Roman" w:eastAsia="Times New Roman"/>
            </w:rPr>
            <w:t>X</w:t>
          </w:r>
          <w:r>
            <w:rPr>
              <w:rFonts w:ascii="Times New Roman" w:eastAsia="Times New Roman"/>
            </w:rPr>
            <w:fldChar w:fldCharType="end"/>
          </w:r>
        </w:p>
        <w:p w14:paraId="57AD08D5">
          <w:pPr>
            <w:pStyle w:val="10"/>
            <w:tabs>
              <w:tab w:val="left" w:leader="dot" w:pos="9307"/>
            </w:tabs>
            <w:spacing w:before="330"/>
          </w:pPr>
          <w:r>
            <w:rPr>
              <w:spacing w:val="7"/>
            </w:rPr>
            <w:t xml:space="preserve">附录一  </w:t>
          </w:r>
          <w:r>
            <w:rPr>
              <w:rFonts w:ascii="Times New Roman" w:eastAsia="Times New Roman"/>
              <w:spacing w:val="6"/>
            </w:rPr>
            <w:t>XXXXXXXXXXXXXXXX</w:t>
          </w:r>
          <w:r>
            <w:rPr>
              <w:rFonts w:ascii="Times New Roman" w:eastAsia="Times New Roman"/>
              <w:spacing w:val="6"/>
            </w:rPr>
            <w:tab/>
          </w:r>
          <w:r>
            <w:rPr>
              <w:rFonts w:ascii="Times New Roman" w:eastAsia="Times New Roman"/>
              <w:b/>
            </w:rPr>
            <w:t>X</w:t>
          </w:r>
          <w:r>
            <w:t xml:space="preserve"> </w:t>
          </w:r>
        </w:p>
        <w:p w14:paraId="746F2966">
          <w:pPr>
            <w:pStyle w:val="10"/>
            <w:tabs>
              <w:tab w:val="left" w:leader="dot" w:pos="9312"/>
            </w:tabs>
          </w:pPr>
          <w:r>
            <w:rPr>
              <w:spacing w:val="7"/>
            </w:rPr>
            <w:t>附</w:t>
          </w:r>
          <w:r>
            <w:t>录</w:t>
          </w:r>
          <w:r>
            <w:rPr>
              <w:spacing w:val="7"/>
            </w:rPr>
            <w:t xml:space="preserve"> </w:t>
          </w:r>
          <w:r>
            <w:rPr>
              <w:rFonts w:ascii="Times New Roman" w:eastAsia="Times New Roman"/>
              <w:spacing w:val="4"/>
            </w:rPr>
            <w:t xml:space="preserve">X  </w:t>
          </w:r>
          <w:r>
            <w:rPr>
              <w:rFonts w:ascii="Times New Roman" w:eastAsia="Times New Roman"/>
              <w:spacing w:val="66"/>
            </w:rPr>
            <w:t xml:space="preserve"> </w:t>
          </w:r>
          <w:r>
            <w:rPr>
              <w:rFonts w:ascii="Times New Roman" w:eastAsia="Times New Roman"/>
              <w:spacing w:val="5"/>
            </w:rPr>
            <w:t>XXXXXXXXXXXXXXXX</w:t>
          </w:r>
          <w:r>
            <w:rPr>
              <w:rFonts w:ascii="Times New Roman" w:eastAsia="Times New Roman"/>
              <w:spacing w:val="5"/>
            </w:rPr>
            <w:tab/>
          </w:r>
          <w:r>
            <w:rPr>
              <w:rFonts w:ascii="Times New Roman" w:eastAsia="Times New Roman"/>
              <w:b/>
              <w:spacing w:val="-6"/>
            </w:rPr>
            <w:t>X</w:t>
          </w:r>
          <w:r>
            <w:t xml:space="preserve"> </w:t>
          </w:r>
        </w:p>
        <w:p w14:paraId="737CCFD7">
          <w:pPr>
            <w:pStyle w:val="9"/>
            <w:tabs>
              <w:tab w:val="left" w:pos="831"/>
              <w:tab w:val="right" w:leader="dot" w:pos="9483"/>
            </w:tabs>
            <w:rPr>
              <w:rFonts w:ascii="Times New Roman" w:eastAsia="Times New Roman"/>
            </w:rPr>
          </w:pPr>
          <w:r>
            <w:fldChar w:fldCharType="begin"/>
          </w:r>
          <w:r>
            <w:instrText xml:space="preserve"> HYPERLINK \l "_TOC_250000" </w:instrText>
          </w:r>
          <w:r>
            <w:fldChar w:fldCharType="separate"/>
          </w:r>
          <w:r>
            <w:t>后</w:t>
          </w:r>
          <w:r>
            <w:tab/>
          </w:r>
          <w:r>
            <w:t>记</w:t>
          </w:r>
          <w:r>
            <w:tab/>
          </w:r>
          <w:r>
            <w:rPr>
              <w:rFonts w:ascii="Times New Roman" w:eastAsia="Times New Roman"/>
            </w:rPr>
            <w:t>X</w:t>
          </w:r>
          <w:r>
            <w:rPr>
              <w:rFonts w:ascii="Times New Roman" w:eastAsia="Times New Roman"/>
            </w:rPr>
            <w:fldChar w:fldCharType="end"/>
          </w:r>
        </w:p>
      </w:sdtContent>
    </w:sdt>
    <w:p w14:paraId="03474BD4">
      <w:pPr>
        <w:spacing w:after="0"/>
        <w:rPr>
          <w:rFonts w:ascii="Times New Roman" w:eastAsia="Times New Roman"/>
        </w:rPr>
        <w:sectPr>
          <w:footerReference r:id="rId7" w:type="default"/>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14:paraId="3A348361">
      <w:pPr>
        <w:pStyle w:val="8"/>
        <w:spacing w:before="5"/>
        <w:rPr>
          <w:rFonts w:ascii="Times New Roman"/>
          <w:b/>
          <w:sz w:val="45"/>
        </w:rPr>
      </w:pPr>
    </w:p>
    <w:p w14:paraId="06E3CFB6">
      <w:pPr>
        <w:pStyle w:val="4"/>
        <w:tabs>
          <w:tab w:val="left" w:pos="645"/>
        </w:tabs>
        <w:ind w:right="105"/>
      </w:pPr>
      <w:bookmarkStart w:id="0" w:name="_TOC_250007"/>
      <w:bookmarkEnd w:id="0"/>
      <w:r>
        <w:t>引</w:t>
      </w:r>
      <w:r>
        <w:tab/>
      </w:r>
      <w:r>
        <w:t>论</w:t>
      </w:r>
    </w:p>
    <w:p w14:paraId="71B6D1B6">
      <w:pPr>
        <w:pStyle w:val="8"/>
        <w:spacing w:before="11"/>
        <w:rPr>
          <w:rFonts w:ascii="黑体"/>
          <w:b/>
          <w:sz w:val="35"/>
        </w:rPr>
      </w:pPr>
    </w:p>
    <w:p w14:paraId="4F2C97A9">
      <w:pPr>
        <w:pStyle w:val="8"/>
        <w:spacing w:line="304" w:lineRule="auto"/>
        <w:ind w:left="238" w:right="341" w:firstLine="480"/>
        <w:jc w:val="both"/>
      </w:pPr>
      <w:r>
        <w:t xml:space="preserve">资产证券化是近三十年来国际金融领域最为重要的金融创新之一。它最早出现在 </w:t>
      </w:r>
      <w:r>
        <w:rPr>
          <w:rFonts w:ascii="Times New Roman" w:hAnsi="Times New Roman" w:eastAsia="Times New Roman"/>
          <w:spacing w:val="-7"/>
        </w:rPr>
        <w:t xml:space="preserve">20 </w:t>
      </w:r>
      <w:r>
        <w:rPr>
          <w:spacing w:val="-21"/>
        </w:rPr>
        <w:t xml:space="preserve">世纪 </w:t>
      </w:r>
      <w:r>
        <w:rPr>
          <w:rFonts w:ascii="Times New Roman" w:hAnsi="Times New Roman" w:eastAsia="Times New Roman"/>
        </w:rPr>
        <w:t xml:space="preserve">70 </w:t>
      </w:r>
      <w:r>
        <w:t>年代的美国。</w:t>
      </w:r>
      <w:r>
        <w:rPr>
          <w:rFonts w:ascii="Times New Roman" w:hAnsi="Times New Roman" w:eastAsia="Times New Roman"/>
        </w:rPr>
        <w:t xml:space="preserve">1977 </w:t>
      </w:r>
      <w:r>
        <w:t>年，美国投资银行家莱维斯•</w:t>
      </w:r>
      <w:r>
        <w:rPr>
          <w:rFonts w:ascii="Times New Roman" w:hAnsi="Times New Roman" w:eastAsia="Times New Roman"/>
        </w:rPr>
        <w:t xml:space="preserve">S.  </w:t>
      </w:r>
      <w:r>
        <w:t>瑞尼尔（</w:t>
      </w:r>
      <w:r>
        <w:rPr>
          <w:rFonts w:ascii="Times New Roman" w:hAnsi="Times New Roman" w:eastAsia="Times New Roman"/>
        </w:rPr>
        <w:t>Lewis S</w:t>
      </w:r>
      <w:r>
        <w:rPr>
          <w:rFonts w:ascii="Times New Roman" w:hAnsi="Times New Roman" w:eastAsia="Times New Roman"/>
          <w:spacing w:val="14"/>
        </w:rPr>
        <w:t xml:space="preserve">. </w:t>
      </w:r>
      <w:r>
        <w:rPr>
          <w:rFonts w:ascii="Times New Roman" w:hAnsi="Times New Roman" w:eastAsia="Times New Roman"/>
        </w:rPr>
        <w:t>Rabieri</w:t>
      </w:r>
      <w:r>
        <w:t>）首</w:t>
      </w:r>
      <w:r>
        <w:rPr>
          <w:spacing w:val="-1"/>
        </w:rPr>
        <w:t>次使用了“资产证券化</w:t>
      </w:r>
      <w:r>
        <w:t>（</w:t>
      </w:r>
      <w:r>
        <w:rPr>
          <w:rFonts w:ascii="Times New Roman" w:hAnsi="Times New Roman" w:eastAsia="Times New Roman"/>
          <w:w w:val="99"/>
        </w:rPr>
        <w:t>Ass</w:t>
      </w:r>
      <w:r>
        <w:rPr>
          <w:rFonts w:ascii="Times New Roman" w:hAnsi="Times New Roman" w:eastAsia="Times New Roman"/>
          <w:spacing w:val="-1"/>
          <w:w w:val="99"/>
        </w:rPr>
        <w:t>e</w:t>
      </w:r>
      <w:r>
        <w:rPr>
          <w:rFonts w:ascii="Times New Roman" w:hAnsi="Times New Roman" w:eastAsia="Times New Roman"/>
        </w:rPr>
        <w:t xml:space="preserve">t </w:t>
      </w:r>
      <w:r>
        <w:rPr>
          <w:rFonts w:ascii="Times New Roman" w:hAnsi="Times New Roman" w:eastAsia="Times New Roman"/>
          <w:spacing w:val="1"/>
          <w:w w:val="99"/>
        </w:rPr>
        <w:t>S</w:t>
      </w:r>
      <w:r>
        <w:rPr>
          <w:rFonts w:ascii="Times New Roman" w:hAnsi="Times New Roman" w:eastAsia="Times New Roman"/>
          <w:spacing w:val="-1"/>
        </w:rPr>
        <w:t>ec</w:t>
      </w:r>
      <w:r>
        <w:rPr>
          <w:rFonts w:ascii="Times New Roman" w:hAnsi="Times New Roman" w:eastAsia="Times New Roman"/>
        </w:rPr>
        <w:t>uriti</w:t>
      </w:r>
      <w:r>
        <w:rPr>
          <w:rFonts w:ascii="Times New Roman" w:hAnsi="Times New Roman" w:eastAsia="Times New Roman"/>
          <w:spacing w:val="1"/>
        </w:rPr>
        <w:t>z</w:t>
      </w:r>
      <w:r>
        <w:rPr>
          <w:rFonts w:ascii="Times New Roman" w:hAnsi="Times New Roman" w:eastAsia="Times New Roman"/>
          <w:spacing w:val="-1"/>
        </w:rPr>
        <w:t>a</w:t>
      </w:r>
      <w:r>
        <w:rPr>
          <w:rFonts w:ascii="Times New Roman" w:hAnsi="Times New Roman" w:eastAsia="Times New Roman"/>
        </w:rPr>
        <w:t>tio</w:t>
      </w:r>
      <w:r>
        <w:rPr>
          <w:rFonts w:ascii="Times New Roman" w:hAnsi="Times New Roman" w:eastAsia="Times New Roman"/>
          <w:spacing w:val="1"/>
        </w:rPr>
        <w:t>n</w:t>
      </w:r>
      <w:r>
        <w:rPr>
          <w:spacing w:val="-120"/>
        </w:rPr>
        <w:t>）</w:t>
      </w:r>
      <w:r>
        <w:rPr>
          <w:spacing w:val="-4"/>
        </w:rPr>
        <w:t>”一词……。国内学者也已经开展了一些这</w:t>
      </w:r>
      <w:r>
        <w:t>方面的研究，其中有代表性的成果有……。笔者认为现有研究中，迫切需要解决的问题</w:t>
      </w:r>
      <w:r>
        <w:rPr>
          <w:spacing w:val="-13"/>
        </w:rPr>
        <w:t>是……，但相应成果并不多见。本文试就资产证券化及其所引起的会计问题与考评方法作</w:t>
      </w:r>
      <w:r>
        <w:t>初步分析和探讨。</w:t>
      </w:r>
    </w:p>
    <w:p w14:paraId="5CFBF642">
      <w:pPr>
        <w:pStyle w:val="8"/>
        <w:spacing w:before="4"/>
        <w:rPr>
          <w:sz w:val="29"/>
        </w:rPr>
      </w:pPr>
    </w:p>
    <w:p w14:paraId="41DC3C79">
      <w:pPr>
        <w:pStyle w:val="4"/>
        <w:ind w:left="1187" w:right="1293"/>
      </w:pPr>
      <w:bookmarkStart w:id="1" w:name="_TOC_250006"/>
      <w:bookmarkEnd w:id="1"/>
      <w:r>
        <w:t>一、资产证券化的基本原理</w:t>
      </w:r>
    </w:p>
    <w:p w14:paraId="2FDC03FF">
      <w:pPr>
        <w:pStyle w:val="8"/>
        <w:spacing w:before="1"/>
        <w:rPr>
          <w:rFonts w:ascii="黑体"/>
          <w:b/>
          <w:sz w:val="43"/>
        </w:rPr>
      </w:pPr>
    </w:p>
    <w:p w14:paraId="491B62E1">
      <w:pPr>
        <w:pStyle w:val="5"/>
      </w:pPr>
      <w:r>
        <w:t>（一）资产证券化的内涵与分类</w:t>
      </w:r>
    </w:p>
    <w:p w14:paraId="6FB7492A">
      <w:pPr>
        <w:pStyle w:val="7"/>
        <w:spacing w:before="173"/>
        <w:ind w:left="721"/>
      </w:pPr>
      <w:r>
        <w:rPr>
          <w:rFonts w:ascii="Times New Roman" w:eastAsia="Times New Roman"/>
        </w:rPr>
        <w:t>1.</w:t>
      </w:r>
      <w:r>
        <w:t>资产证券化的内涵</w:t>
      </w:r>
    </w:p>
    <w:p w14:paraId="790B5B8F">
      <w:pPr>
        <w:pStyle w:val="8"/>
        <w:spacing w:before="82" w:line="304" w:lineRule="auto"/>
        <w:ind w:left="238" w:right="343" w:firstLine="480"/>
        <w:jc w:val="both"/>
      </w:pPr>
      <w:r>
        <w:rPr>
          <w:spacing w:val="-4"/>
        </w:rPr>
        <w:t>有关资产证券化的内涵问题，国内研究中引用最多的是格顿</w:t>
      </w:r>
      <w:r>
        <w:t>（</w:t>
      </w:r>
      <w:r>
        <w:rPr>
          <w:rFonts w:ascii="Times New Roman" w:hAnsi="Times New Roman" w:eastAsia="Times New Roman"/>
        </w:rPr>
        <w:t>Gardener</w:t>
      </w:r>
      <w:r>
        <w:t>）</w:t>
      </w:r>
      <w:r>
        <w:rPr>
          <w:spacing w:val="-3"/>
        </w:rPr>
        <w:t>的定义和所</w:t>
      </w:r>
      <w:r>
        <w:rPr>
          <w:spacing w:val="-11"/>
        </w:rPr>
        <w:t>谓的一级证券化、二级证券化的分类，以及融资证券化和资产证券化的分类，但学者们的</w:t>
      </w:r>
      <w:r>
        <w:t>分类并不一致，比较有影响的是何小锋的分类方法</w:t>
      </w:r>
      <w:r>
        <w:rPr>
          <w:position w:val="9"/>
          <w:sz w:val="12"/>
        </w:rPr>
        <w:t>①</w:t>
      </w:r>
      <w:r>
        <w:rPr>
          <w:spacing w:val="-1"/>
        </w:rPr>
        <w:t>。若按照标的资产分类，资产证券化</w:t>
      </w:r>
      <w:r>
        <w:rPr>
          <w:spacing w:val="40"/>
        </w:rPr>
        <w:t>主要包括资产支持证券</w:t>
      </w:r>
      <w:r>
        <w:t>（</w:t>
      </w:r>
      <w:r>
        <w:rPr>
          <w:spacing w:val="-75"/>
        </w:rPr>
        <w:t xml:space="preserve"> </w:t>
      </w:r>
      <w:r>
        <w:rPr>
          <w:rFonts w:ascii="Times New Roman" w:hAnsi="Times New Roman" w:eastAsia="Times New Roman"/>
        </w:rPr>
        <w:t xml:space="preserve">Asset-backed Securities </w:t>
      </w:r>
      <w:r>
        <w:rPr>
          <w:spacing w:val="30"/>
        </w:rPr>
        <w:t xml:space="preserve">，简称 </w:t>
      </w:r>
      <w:r>
        <w:rPr>
          <w:rFonts w:ascii="Times New Roman" w:hAnsi="Times New Roman" w:eastAsia="Times New Roman"/>
        </w:rPr>
        <w:t xml:space="preserve">ABS </w:t>
      </w:r>
      <w:r>
        <w:t>）</w:t>
      </w:r>
      <w:r>
        <w:rPr>
          <w:spacing w:val="20"/>
        </w:rPr>
        <w:t xml:space="preserve"> 和抵押支持证券</w:t>
      </w:r>
    </w:p>
    <w:p w14:paraId="078620DF">
      <w:pPr>
        <w:pStyle w:val="8"/>
        <w:spacing w:line="304" w:lineRule="auto"/>
        <w:ind w:left="238" w:right="341"/>
        <w:jc w:val="both"/>
        <w:rPr>
          <w:sz w:val="12"/>
        </w:rPr>
      </w:pPr>
      <w:r>
        <w:t>（</w:t>
      </w:r>
      <w:r>
        <w:rPr>
          <w:rFonts w:ascii="Times New Roman" w:hAnsi="Times New Roman" w:eastAsia="Times New Roman"/>
        </w:rPr>
        <w:t>Mortg</w:t>
      </w:r>
      <w:r>
        <w:rPr>
          <w:rFonts w:ascii="Times New Roman" w:hAnsi="Times New Roman" w:eastAsia="Times New Roman"/>
          <w:spacing w:val="-1"/>
        </w:rPr>
        <w:t>a</w:t>
      </w:r>
      <w:r>
        <w:rPr>
          <w:rFonts w:ascii="Times New Roman" w:hAnsi="Times New Roman" w:eastAsia="Times New Roman"/>
        </w:rPr>
        <w:t>g</w:t>
      </w:r>
      <w:r>
        <w:rPr>
          <w:rFonts w:ascii="Times New Roman" w:hAnsi="Times New Roman" w:eastAsia="Times New Roman"/>
          <w:spacing w:val="-1"/>
        </w:rPr>
        <w:t>e-</w:t>
      </w:r>
      <w:r>
        <w:rPr>
          <w:rFonts w:ascii="Times New Roman" w:hAnsi="Times New Roman" w:eastAsia="Times New Roman"/>
          <w:spacing w:val="2"/>
        </w:rPr>
        <w:t>b</w:t>
      </w:r>
      <w:r>
        <w:rPr>
          <w:rFonts w:ascii="Times New Roman" w:hAnsi="Times New Roman" w:eastAsia="Times New Roman"/>
          <w:spacing w:val="-1"/>
        </w:rPr>
        <w:t>ac</w:t>
      </w:r>
      <w:r>
        <w:rPr>
          <w:rFonts w:ascii="Times New Roman" w:hAnsi="Times New Roman" w:eastAsia="Times New Roman"/>
        </w:rPr>
        <w:t>k</w:t>
      </w:r>
      <w:r>
        <w:rPr>
          <w:rFonts w:ascii="Times New Roman" w:hAnsi="Times New Roman" w:eastAsia="Times New Roman"/>
          <w:spacing w:val="-1"/>
        </w:rPr>
        <w:t>e</w:t>
      </w:r>
      <w:r>
        <w:rPr>
          <w:rFonts w:ascii="Times New Roman" w:hAnsi="Times New Roman" w:eastAsia="Times New Roman"/>
        </w:rPr>
        <w:t xml:space="preserve">d </w:t>
      </w:r>
      <w:r>
        <w:rPr>
          <w:rFonts w:ascii="Times New Roman" w:hAnsi="Times New Roman" w:eastAsia="Times New Roman"/>
          <w:w w:val="99"/>
        </w:rPr>
        <w:t>S</w:t>
      </w:r>
      <w:r>
        <w:rPr>
          <w:rFonts w:ascii="Times New Roman" w:hAnsi="Times New Roman" w:eastAsia="Times New Roman"/>
          <w:spacing w:val="1"/>
        </w:rPr>
        <w:t>ec</w:t>
      </w:r>
      <w:r>
        <w:rPr>
          <w:rFonts w:ascii="Times New Roman" w:hAnsi="Times New Roman" w:eastAsia="Times New Roman"/>
        </w:rPr>
        <w:t>uritie</w:t>
      </w:r>
      <w:r>
        <w:rPr>
          <w:rFonts w:ascii="Times New Roman" w:hAnsi="Times New Roman" w:eastAsia="Times New Roman"/>
          <w:spacing w:val="1"/>
        </w:rPr>
        <w:t>s</w:t>
      </w:r>
      <w:r>
        <w:rPr>
          <w:spacing w:val="-17"/>
        </w:rPr>
        <w:t xml:space="preserve">，简称 </w:t>
      </w:r>
      <w:r>
        <w:rPr>
          <w:rFonts w:ascii="Times New Roman" w:hAnsi="Times New Roman" w:eastAsia="Times New Roman"/>
          <w:w w:val="99"/>
        </w:rPr>
        <w:t>MB</w:t>
      </w:r>
      <w:r>
        <w:rPr>
          <w:rFonts w:ascii="Times New Roman" w:hAnsi="Times New Roman" w:eastAsia="Times New Roman"/>
          <w:spacing w:val="1"/>
          <w:w w:val="99"/>
        </w:rPr>
        <w:t>S</w:t>
      </w:r>
      <w:r>
        <w:rPr>
          <w:spacing w:val="-8"/>
        </w:rPr>
        <w:t>）</w:t>
      </w:r>
      <w:r>
        <w:rPr>
          <w:position w:val="9"/>
          <w:sz w:val="12"/>
        </w:rPr>
        <w:t>②</w:t>
      </w:r>
      <w:r>
        <w:rPr>
          <w:spacing w:val="-12"/>
        </w:rPr>
        <w:t>。目前，在学界较受认可的定义是：“资产证</w:t>
      </w:r>
      <w:r>
        <w:rPr>
          <w:spacing w:val="-11"/>
        </w:rPr>
        <w:t>券是指主要由现金流支持的，这个现金流是由一组应收账款或者其他金融资产构成的资产</w:t>
      </w:r>
      <w:r>
        <w:rPr>
          <w:spacing w:val="-39"/>
        </w:rPr>
        <w:t>池</w:t>
      </w:r>
      <w:r>
        <w:t>（</w:t>
      </w:r>
      <w:r>
        <w:rPr>
          <w:rFonts w:ascii="Times New Roman" w:hAnsi="Times New Roman" w:eastAsia="Times New Roman"/>
        </w:rPr>
        <w:t xml:space="preserve">asset </w:t>
      </w:r>
      <w:r>
        <w:rPr>
          <w:rFonts w:ascii="Times New Roman" w:hAnsi="Times New Roman" w:eastAsia="Times New Roman"/>
          <w:spacing w:val="-8"/>
        </w:rPr>
        <w:t>pool</w:t>
      </w:r>
      <w:r>
        <w:rPr>
          <w:spacing w:val="-8"/>
        </w:rPr>
        <w:t>）</w:t>
      </w:r>
      <w:r>
        <w:rPr>
          <w:spacing w:val="-6"/>
        </w:rPr>
        <w:t>提供的，并通过条款确保资产在一个限定的时间内转换成现金以及拥有必</w:t>
      </w:r>
      <w:r>
        <w:rPr>
          <w:spacing w:val="-13"/>
        </w:rPr>
        <w:t>要的权力，这种证券也可以是由那些能够通过服务条款或者具有合适的分配程序给证券持</w:t>
      </w:r>
      <w:r>
        <w:rPr>
          <w:spacing w:val="-8"/>
        </w:rPr>
        <w:t>有人提供收入的资产支持的证券。”</w:t>
      </w:r>
      <w:r>
        <w:rPr>
          <w:position w:val="9"/>
          <w:sz w:val="12"/>
        </w:rPr>
        <w:t>③</w:t>
      </w:r>
    </w:p>
    <w:p w14:paraId="5CFA692C">
      <w:pPr>
        <w:pStyle w:val="8"/>
        <w:spacing w:line="307" w:lineRule="exact"/>
        <w:ind w:left="718"/>
      </w:pPr>
      <w:r>
        <w:t>…………</w:t>
      </w:r>
    </w:p>
    <w:p w14:paraId="720853D9">
      <w:pPr>
        <w:pStyle w:val="8"/>
        <w:spacing w:before="79"/>
        <w:ind w:left="718"/>
      </w:pPr>
      <w:r>
        <w:t>（</w:t>
      </w:r>
      <w:r>
        <w:rPr>
          <w:rFonts w:ascii="Times New Roman" w:eastAsia="Times New Roman"/>
        </w:rPr>
        <w:t>2</w:t>
      </w:r>
      <w:r>
        <w:t>）美国的资产证券化进程</w:t>
      </w:r>
    </w:p>
    <w:p w14:paraId="27542ECF">
      <w:pPr>
        <w:pStyle w:val="8"/>
        <w:spacing w:before="84"/>
        <w:ind w:left="718"/>
        <w:rPr>
          <w:rFonts w:ascii="Times New Roman" w:eastAsia="Times New Roman"/>
        </w:rPr>
      </w:pPr>
      <w:r>
        <w:t>据有关资料披露，</w:t>
      </w:r>
      <w:r>
        <w:rPr>
          <w:rFonts w:ascii="Times New Roman" w:eastAsia="Times New Roman"/>
        </w:rPr>
        <w:t xml:space="preserve">1985 </w:t>
      </w:r>
      <w:r>
        <w:t xml:space="preserve">年美国资产证券化市场发行总额 </w:t>
      </w:r>
      <w:r>
        <w:rPr>
          <w:rFonts w:ascii="Times New Roman" w:eastAsia="Times New Roman"/>
        </w:rPr>
        <w:t xml:space="preserve">8 </w:t>
      </w:r>
      <w:r>
        <w:t>亿美元，</w:t>
      </w:r>
      <w:r>
        <w:rPr>
          <w:rFonts w:ascii="Times New Roman" w:eastAsia="Times New Roman"/>
        </w:rPr>
        <w:t xml:space="preserve">1992 </w:t>
      </w:r>
      <w:r>
        <w:t xml:space="preserve">年已达 </w:t>
      </w:r>
      <w:r>
        <w:rPr>
          <w:rFonts w:ascii="Times New Roman" w:eastAsia="Times New Roman"/>
        </w:rPr>
        <w:t>1 888</w:t>
      </w:r>
    </w:p>
    <w:p w14:paraId="081C146A">
      <w:pPr>
        <w:pStyle w:val="8"/>
        <w:spacing w:before="81" w:line="304" w:lineRule="auto"/>
        <w:ind w:left="238" w:right="344"/>
      </w:pPr>
      <w:r>
        <w:rPr>
          <w:spacing w:val="-19"/>
        </w:rPr>
        <w:t xml:space="preserve">亿，截止 </w:t>
      </w:r>
      <w:r>
        <w:rPr>
          <w:rFonts w:ascii="Times New Roman" w:hAnsi="Times New Roman" w:eastAsia="Times New Roman"/>
        </w:rPr>
        <w:t xml:space="preserve">1992 </w:t>
      </w:r>
      <w:r>
        <w:rPr>
          <w:spacing w:val="-12"/>
        </w:rPr>
        <w:t xml:space="preserve">年底，已经累计发行 </w:t>
      </w:r>
      <w:r>
        <w:rPr>
          <w:rFonts w:ascii="Times New Roman" w:hAnsi="Times New Roman" w:eastAsia="Times New Roman"/>
        </w:rPr>
        <w:t xml:space="preserve">2 050 </w:t>
      </w:r>
      <w:r>
        <w:rPr>
          <w:spacing w:val="-16"/>
        </w:rPr>
        <w:t xml:space="preserve">亿美元。至 </w:t>
      </w:r>
      <w:r>
        <w:rPr>
          <w:rFonts w:ascii="Times New Roman" w:hAnsi="Times New Roman" w:eastAsia="Times New Roman"/>
        </w:rPr>
        <w:t xml:space="preserve">2006 </w:t>
      </w:r>
      <w:r>
        <w:rPr>
          <w:spacing w:val="-11"/>
        </w:rPr>
        <w:t xml:space="preserve">年底，其市场规模已经达到 </w:t>
      </w:r>
      <w:r>
        <w:rPr>
          <w:rFonts w:ascii="Times New Roman" w:hAnsi="Times New Roman" w:eastAsia="Times New Roman"/>
          <w:spacing w:val="-7"/>
        </w:rPr>
        <w:t xml:space="preserve">74 </w:t>
      </w:r>
      <w:r>
        <w:rPr>
          <w:rFonts w:ascii="Times New Roman" w:hAnsi="Times New Roman" w:eastAsia="Times New Roman"/>
        </w:rPr>
        <w:t xml:space="preserve">067 </w:t>
      </w:r>
      <w:r>
        <w:rPr>
          <w:spacing w:val="-4"/>
        </w:rPr>
        <w:t xml:space="preserve">亿美元，成为美国第一大债券市场，其中 </w:t>
      </w:r>
      <w:r>
        <w:rPr>
          <w:rFonts w:ascii="Times New Roman" w:hAnsi="Times New Roman" w:eastAsia="Times New Roman"/>
        </w:rPr>
        <w:t xml:space="preserve">MBS </w:t>
      </w:r>
      <w:r>
        <w:rPr>
          <w:spacing w:val="-30"/>
        </w:rPr>
        <w:t xml:space="preserve">占 </w:t>
      </w:r>
      <w:r>
        <w:rPr>
          <w:rFonts w:ascii="Times New Roman" w:hAnsi="Times New Roman" w:eastAsia="Times New Roman"/>
        </w:rPr>
        <w:t>70%</w:t>
      </w:r>
      <w:r>
        <w:rPr>
          <w:position w:val="9"/>
          <w:sz w:val="12"/>
        </w:rPr>
        <w:t>④</w:t>
      </w:r>
      <w:r>
        <w:t>。</w:t>
      </w:r>
    </w:p>
    <w:p w14:paraId="12FB7C78">
      <w:pPr>
        <w:pStyle w:val="8"/>
        <w:spacing w:line="306" w:lineRule="exact"/>
        <w:ind w:left="718"/>
      </w:pPr>
      <w:r>
        <w:t>…………</w:t>
      </w:r>
    </w:p>
    <w:p w14:paraId="512A262A">
      <w:pPr>
        <w:pStyle w:val="8"/>
        <w:spacing w:before="4"/>
        <w:rPr>
          <w:sz w:val="21"/>
        </w:rPr>
      </w:pPr>
      <w:r>
        <w:pict>
          <v:line id="_x0000_s1026" o:spid="_x0000_s1026" o:spt="20" style="position:absolute;left:0pt;margin-left:70.9pt;margin-top:15.85pt;height:0pt;width:144pt;mso-position-horizontal-relative:page;mso-wrap-distance-bottom:0pt;mso-wrap-distance-top:0pt;z-index:-251643904;mso-width-relative:page;mso-height-relative:page;" stroked="t" coordsize="21600,21600">
            <v:path arrowok="t"/>
            <v:fill focussize="0,0"/>
            <v:stroke weight="0.48pt" color="#000000"/>
            <v:imagedata o:title=""/>
            <o:lock v:ext="edit"/>
            <w10:wrap type="topAndBottom"/>
          </v:line>
        </w:pict>
      </w:r>
    </w:p>
    <w:p w14:paraId="645C031A">
      <w:pPr>
        <w:spacing w:before="62"/>
        <w:ind w:left="238" w:right="0" w:firstLine="0"/>
        <w:jc w:val="left"/>
        <w:rPr>
          <w:sz w:val="18"/>
        </w:rPr>
      </w:pPr>
      <w:r>
        <w:rPr>
          <w:position w:val="6"/>
          <w:sz w:val="9"/>
        </w:rPr>
        <w:t>①</w:t>
      </w:r>
      <w:r>
        <w:rPr>
          <w:sz w:val="18"/>
        </w:rPr>
        <w:t>何小锋．资产证券化：中国模式</w:t>
      </w:r>
      <w:r>
        <w:rPr>
          <w:rFonts w:ascii="Times New Roman" w:hAnsi="Times New Roman" w:eastAsia="Times New Roman"/>
          <w:sz w:val="18"/>
        </w:rPr>
        <w:t>[M]</w:t>
      </w:r>
      <w:r>
        <w:rPr>
          <w:sz w:val="18"/>
        </w:rPr>
        <w:t>．北京：北京大学出版社，</w:t>
      </w:r>
      <w:r>
        <w:rPr>
          <w:rFonts w:ascii="Times New Roman" w:hAnsi="Times New Roman" w:eastAsia="Times New Roman"/>
          <w:sz w:val="18"/>
        </w:rPr>
        <w:t>2002</w:t>
      </w:r>
      <w:r>
        <w:rPr>
          <w:sz w:val="18"/>
        </w:rPr>
        <w:t>：</w:t>
      </w:r>
      <w:r>
        <w:rPr>
          <w:rFonts w:ascii="Times New Roman" w:hAnsi="Times New Roman" w:eastAsia="Times New Roman"/>
          <w:sz w:val="18"/>
        </w:rPr>
        <w:t>38-42</w:t>
      </w:r>
      <w:r>
        <w:rPr>
          <w:sz w:val="18"/>
        </w:rPr>
        <w:t>．</w:t>
      </w:r>
    </w:p>
    <w:p w14:paraId="45D0B408">
      <w:pPr>
        <w:spacing w:before="2" w:line="244" w:lineRule="auto"/>
        <w:ind w:left="238" w:right="252" w:firstLine="0"/>
        <w:jc w:val="both"/>
        <w:rPr>
          <w:sz w:val="20"/>
        </w:rPr>
      </w:pPr>
      <w:r>
        <w:rPr>
          <w:spacing w:val="-18"/>
          <w:sz w:val="18"/>
        </w:rPr>
        <w:t>②有资料在表示“资产证券化”时，也使用了“</w:t>
      </w:r>
      <w:r>
        <w:rPr>
          <w:rFonts w:ascii="Times New Roman" w:hAnsi="Times New Roman" w:eastAsia="Times New Roman"/>
          <w:spacing w:val="-12"/>
          <w:sz w:val="18"/>
        </w:rPr>
        <w:t>ABS</w:t>
      </w:r>
      <w:r>
        <w:rPr>
          <w:spacing w:val="-4"/>
          <w:sz w:val="18"/>
        </w:rPr>
        <w:t xml:space="preserve">， </w:t>
      </w:r>
      <w:r>
        <w:rPr>
          <w:rFonts w:ascii="Times New Roman" w:hAnsi="Times New Roman" w:eastAsia="Times New Roman"/>
          <w:sz w:val="18"/>
        </w:rPr>
        <w:t>Asset-backed</w:t>
      </w:r>
      <w:r>
        <w:rPr>
          <w:rFonts w:ascii="Times New Roman" w:hAnsi="Times New Roman" w:eastAsia="Times New Roman"/>
          <w:spacing w:val="3"/>
          <w:sz w:val="18"/>
        </w:rPr>
        <w:t xml:space="preserve"> </w:t>
      </w:r>
      <w:r>
        <w:rPr>
          <w:rFonts w:ascii="Times New Roman" w:hAnsi="Times New Roman" w:eastAsia="Times New Roman"/>
          <w:spacing w:val="-8"/>
          <w:sz w:val="18"/>
        </w:rPr>
        <w:t>Securitization</w:t>
      </w:r>
      <w:r>
        <w:rPr>
          <w:spacing w:val="-16"/>
          <w:sz w:val="18"/>
        </w:rPr>
        <w:t>”，笔者认为，这与“</w:t>
      </w:r>
      <w:r>
        <w:rPr>
          <w:rFonts w:ascii="Times New Roman" w:hAnsi="Times New Roman" w:eastAsia="Times New Roman"/>
          <w:sz w:val="18"/>
        </w:rPr>
        <w:t>Asset</w:t>
      </w:r>
      <w:r>
        <w:rPr>
          <w:rFonts w:ascii="Times New Roman" w:hAnsi="Times New Roman" w:eastAsia="Times New Roman"/>
          <w:spacing w:val="2"/>
          <w:sz w:val="18"/>
        </w:rPr>
        <w:t xml:space="preserve"> </w:t>
      </w:r>
      <w:r>
        <w:rPr>
          <w:rFonts w:ascii="Times New Roman" w:hAnsi="Times New Roman" w:eastAsia="Times New Roman"/>
          <w:sz w:val="18"/>
        </w:rPr>
        <w:t>Securitization</w:t>
      </w:r>
      <w:r>
        <w:rPr>
          <w:sz w:val="18"/>
        </w:rPr>
        <w:t xml:space="preserve">” </w:t>
      </w:r>
      <w:r>
        <w:rPr>
          <w:spacing w:val="-5"/>
          <w:sz w:val="18"/>
        </w:rPr>
        <w:t xml:space="preserve">是有差别的：一个是有资产担保的证券化，另一个则是资产的证券化。笔者认为一般意义上所指的资产证券化是后者， </w:t>
      </w:r>
      <w:r>
        <w:rPr>
          <w:sz w:val="18"/>
        </w:rPr>
        <w:t>即“</w:t>
      </w:r>
      <w:r>
        <w:rPr>
          <w:rFonts w:ascii="Times New Roman" w:hAnsi="Times New Roman" w:eastAsia="Times New Roman"/>
          <w:sz w:val="18"/>
        </w:rPr>
        <w:t>Asset</w:t>
      </w:r>
      <w:r>
        <w:rPr>
          <w:rFonts w:ascii="Times New Roman" w:hAnsi="Times New Roman" w:eastAsia="Times New Roman"/>
          <w:spacing w:val="-1"/>
          <w:sz w:val="18"/>
        </w:rPr>
        <w:t xml:space="preserve"> </w:t>
      </w:r>
      <w:r>
        <w:rPr>
          <w:rFonts w:ascii="Times New Roman" w:hAnsi="Times New Roman" w:eastAsia="Times New Roman"/>
          <w:sz w:val="18"/>
        </w:rPr>
        <w:t>Securitization</w:t>
      </w:r>
      <w:r>
        <w:rPr>
          <w:spacing w:val="-2"/>
          <w:sz w:val="18"/>
        </w:rPr>
        <w:t>”。</w:t>
      </w:r>
      <w:r>
        <w:rPr>
          <w:w w:val="99"/>
          <w:sz w:val="20"/>
        </w:rPr>
        <w:t xml:space="preserve"> </w:t>
      </w:r>
    </w:p>
    <w:p w14:paraId="7C2E9AFA">
      <w:pPr>
        <w:spacing w:before="12" w:line="231" w:lineRule="exact"/>
        <w:ind w:left="238" w:right="0" w:firstLine="0"/>
        <w:jc w:val="left"/>
        <w:rPr>
          <w:sz w:val="18"/>
        </w:rPr>
      </w:pPr>
      <w:r>
        <w:rPr>
          <w:position w:val="7"/>
          <w:sz w:val="11"/>
        </w:rPr>
        <w:t>③</w:t>
      </w:r>
      <w:r>
        <w:rPr>
          <w:sz w:val="18"/>
        </w:rPr>
        <w:t>王明国，张华为，李友信，等．中国资产证券化的理论与实际运行情况研究</w:t>
      </w:r>
      <w:r>
        <w:rPr>
          <w:rFonts w:ascii="Times New Roman" w:hAnsi="Times New Roman" w:eastAsia="Times New Roman"/>
          <w:sz w:val="18"/>
        </w:rPr>
        <w:t>[M]</w:t>
      </w:r>
      <w:r>
        <w:rPr>
          <w:sz w:val="18"/>
        </w:rPr>
        <w:t>．上海：上海财经大学出版社，</w:t>
      </w:r>
      <w:r>
        <w:rPr>
          <w:rFonts w:ascii="Times New Roman" w:hAnsi="Times New Roman" w:eastAsia="Times New Roman"/>
          <w:sz w:val="18"/>
        </w:rPr>
        <w:t>2006</w:t>
      </w:r>
      <w:r>
        <w:rPr>
          <w:sz w:val="18"/>
        </w:rPr>
        <w:t>：</w:t>
      </w:r>
    </w:p>
    <w:p w14:paraId="7BDA45DB">
      <w:pPr>
        <w:spacing w:before="0"/>
        <w:ind w:left="238" w:right="0" w:firstLine="0"/>
        <w:jc w:val="left"/>
        <w:rPr>
          <w:sz w:val="20"/>
        </w:rPr>
      </w:pPr>
      <w:r>
        <w:rPr>
          <w:rFonts w:ascii="Times New Roman" w:eastAsia="Times New Roman"/>
          <w:sz w:val="18"/>
        </w:rPr>
        <w:t>42</w:t>
      </w:r>
      <w:r>
        <w:rPr>
          <w:sz w:val="18"/>
        </w:rPr>
        <w:t>．</w:t>
      </w:r>
      <w:r>
        <w:rPr>
          <w:w w:val="99"/>
          <w:sz w:val="20"/>
        </w:rPr>
        <w:t xml:space="preserve"> </w:t>
      </w:r>
    </w:p>
    <w:p w14:paraId="5AD1D1EC">
      <w:pPr>
        <w:spacing w:before="5"/>
        <w:ind w:left="238" w:right="0" w:firstLine="0"/>
        <w:jc w:val="left"/>
        <w:rPr>
          <w:sz w:val="18"/>
        </w:rPr>
      </w:pPr>
      <w:r>
        <w:rPr>
          <w:position w:val="6"/>
          <w:sz w:val="9"/>
        </w:rPr>
        <w:t xml:space="preserve">④ </w:t>
      </w:r>
      <w:r>
        <w:rPr>
          <w:sz w:val="18"/>
        </w:rPr>
        <w:t>李明．中美证券市场的比较与启示</w:t>
      </w:r>
      <w:r>
        <w:rPr>
          <w:rFonts w:ascii="Times New Roman" w:hAnsi="Times New Roman" w:eastAsia="Times New Roman"/>
          <w:sz w:val="18"/>
        </w:rPr>
        <w:t>[J]</w:t>
      </w:r>
      <w:r>
        <w:rPr>
          <w:sz w:val="18"/>
        </w:rPr>
        <w:t>．金融研究，</w:t>
      </w:r>
      <w:r>
        <w:rPr>
          <w:rFonts w:ascii="Times New Roman" w:hAnsi="Times New Roman" w:eastAsia="Times New Roman"/>
          <w:sz w:val="18"/>
        </w:rPr>
        <w:t>2006</w:t>
      </w:r>
      <w:r>
        <w:rPr>
          <w:sz w:val="18"/>
        </w:rPr>
        <w:t>（</w:t>
      </w:r>
      <w:r>
        <w:rPr>
          <w:rFonts w:ascii="Times New Roman" w:hAnsi="Times New Roman" w:eastAsia="Times New Roman"/>
          <w:sz w:val="18"/>
        </w:rPr>
        <w:t>10</w:t>
      </w:r>
      <w:r>
        <w:rPr>
          <w:sz w:val="18"/>
        </w:rPr>
        <w:t>）：</w:t>
      </w:r>
      <w:r>
        <w:rPr>
          <w:rFonts w:ascii="Times New Roman" w:hAnsi="Times New Roman" w:eastAsia="Times New Roman"/>
          <w:sz w:val="18"/>
        </w:rPr>
        <w:t>38</w:t>
      </w:r>
      <w:r>
        <w:rPr>
          <w:sz w:val="18"/>
        </w:rPr>
        <w:t>．</w:t>
      </w:r>
    </w:p>
    <w:p w14:paraId="411B0A68">
      <w:pPr>
        <w:spacing w:after="0"/>
        <w:jc w:val="left"/>
        <w:rPr>
          <w:sz w:val="18"/>
        </w:rPr>
        <w:sectPr>
          <w:footerReference r:id="rId8" w:type="default"/>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14:paraId="658ED4DC">
      <w:pPr>
        <w:pStyle w:val="8"/>
        <w:rPr>
          <w:sz w:val="20"/>
        </w:rPr>
      </w:pPr>
    </w:p>
    <w:p w14:paraId="4124CBE3">
      <w:pPr>
        <w:pStyle w:val="8"/>
      </w:pPr>
    </w:p>
    <w:p w14:paraId="59DC394B">
      <w:pPr>
        <w:pStyle w:val="5"/>
        <w:spacing w:before="61"/>
      </w:pPr>
      <w:bookmarkStart w:id="2" w:name="_TOC_250005"/>
      <w:bookmarkEnd w:id="2"/>
      <w:r>
        <w:t>（三）资产证券化的运作方式</w:t>
      </w:r>
    </w:p>
    <w:p w14:paraId="01022A2D">
      <w:pPr>
        <w:pStyle w:val="8"/>
        <w:spacing w:before="181" w:line="280" w:lineRule="auto"/>
        <w:ind w:left="238" w:right="225" w:firstLine="480"/>
        <w:rPr>
          <w:rFonts w:hint="eastAsia" w:ascii="楷体" w:hAnsi="楷体" w:eastAsia="楷体"/>
          <w:i/>
          <w:sz w:val="22"/>
        </w:rPr>
      </w:pPr>
      <w:r>
        <w:rPr>
          <w:spacing w:val="-1"/>
        </w:rPr>
        <w:t>资产证券化是一种结构化融资方式，通过严谨、有效的交易结构来保证融资的成功。</w:t>
      </w:r>
      <w:r>
        <w:rPr>
          <w:spacing w:val="-5"/>
        </w:rPr>
        <w:t>一个典型的资产证券化的过程包括三个主要交易主体：</w:t>
      </w:r>
      <w:r>
        <w:t>（</w:t>
      </w:r>
      <w:r>
        <w:rPr>
          <w:rFonts w:ascii="Times New Roman" w:hAnsi="Times New Roman" w:eastAsia="Times New Roman"/>
        </w:rPr>
        <w:t>1</w:t>
      </w:r>
      <w:r>
        <w:t>）发起人（服务人</w:t>
      </w:r>
      <w:r>
        <w:rPr>
          <w:spacing w:val="-120"/>
        </w:rPr>
        <w:t>）；</w:t>
      </w:r>
      <w:r>
        <w:t>（</w:t>
      </w:r>
      <w:r>
        <w:rPr>
          <w:rFonts w:ascii="Times New Roman" w:hAnsi="Times New Roman" w:eastAsia="Times New Roman"/>
        </w:rPr>
        <w:t>2</w:t>
      </w:r>
      <w:r>
        <w:t>）特设</w:t>
      </w:r>
      <w:r>
        <w:rPr>
          <w:spacing w:val="-3"/>
        </w:rPr>
        <w:t>信托机构</w:t>
      </w:r>
      <w:r>
        <w:t>（</w:t>
      </w:r>
      <w:r>
        <w:rPr>
          <w:rFonts w:ascii="Times New Roman" w:hAnsi="Times New Roman" w:eastAsia="Times New Roman"/>
          <w:w w:val="99"/>
        </w:rPr>
        <w:t>sp</w:t>
      </w:r>
      <w:r>
        <w:rPr>
          <w:rFonts w:ascii="Times New Roman" w:hAnsi="Times New Roman" w:eastAsia="Times New Roman"/>
          <w:spacing w:val="-1"/>
          <w:w w:val="99"/>
        </w:rPr>
        <w:t>e</w:t>
      </w:r>
      <w:r>
        <w:rPr>
          <w:rFonts w:ascii="Times New Roman" w:hAnsi="Times New Roman" w:eastAsia="Times New Roman"/>
          <w:spacing w:val="-1"/>
        </w:rPr>
        <w:t>c</w:t>
      </w:r>
      <w:r>
        <w:rPr>
          <w:rFonts w:ascii="Times New Roman" w:hAnsi="Times New Roman" w:eastAsia="Times New Roman"/>
        </w:rPr>
        <w:t>ial pu</w:t>
      </w:r>
      <w:r>
        <w:rPr>
          <w:rFonts w:ascii="Times New Roman" w:hAnsi="Times New Roman" w:eastAsia="Times New Roman"/>
          <w:spacing w:val="-1"/>
        </w:rPr>
        <w:t>r</w:t>
      </w:r>
      <w:r>
        <w:rPr>
          <w:rFonts w:ascii="Times New Roman" w:hAnsi="Times New Roman" w:eastAsia="Times New Roman"/>
          <w:spacing w:val="2"/>
        </w:rPr>
        <w:t>p</w:t>
      </w:r>
      <w:r>
        <w:rPr>
          <w:rFonts w:ascii="Times New Roman" w:hAnsi="Times New Roman" w:eastAsia="Times New Roman"/>
          <w:w w:val="99"/>
        </w:rPr>
        <w:t>ose</w:t>
      </w:r>
      <w:r>
        <w:rPr>
          <w:rFonts w:ascii="Times New Roman" w:hAnsi="Times New Roman" w:eastAsia="Times New Roman"/>
          <w:spacing w:val="-1"/>
        </w:rPr>
        <w:t xml:space="preserve"> </w:t>
      </w:r>
      <w:r>
        <w:rPr>
          <w:rFonts w:ascii="Times New Roman" w:hAnsi="Times New Roman" w:eastAsia="Times New Roman"/>
        </w:rPr>
        <w:t>v</w:t>
      </w:r>
      <w:r>
        <w:rPr>
          <w:rFonts w:ascii="Times New Roman" w:hAnsi="Times New Roman" w:eastAsia="Times New Roman"/>
          <w:spacing w:val="-1"/>
        </w:rPr>
        <w:t>e</w:t>
      </w:r>
      <w:r>
        <w:rPr>
          <w:rFonts w:ascii="Times New Roman" w:hAnsi="Times New Roman" w:eastAsia="Times New Roman"/>
        </w:rPr>
        <w:t>hicle</w:t>
      </w:r>
      <w:r>
        <w:rPr>
          <w:spacing w:val="-18"/>
        </w:rPr>
        <w:t xml:space="preserve">，简称 </w:t>
      </w:r>
      <w:r>
        <w:rPr>
          <w:rFonts w:ascii="Times New Roman" w:hAnsi="Times New Roman" w:eastAsia="Times New Roman"/>
          <w:w w:val="99"/>
        </w:rPr>
        <w:t>SPV</w:t>
      </w:r>
      <w:r>
        <w:rPr>
          <w:rFonts w:ascii="Times New Roman" w:hAnsi="Times New Roman" w:eastAsia="Times New Roman"/>
          <w:spacing w:val="-1"/>
        </w:rPr>
        <w:t xml:space="preserve"> </w:t>
      </w:r>
      <w:r>
        <w:t>即发行人</w:t>
      </w:r>
      <w:r>
        <w:rPr>
          <w:spacing w:val="-120"/>
        </w:rPr>
        <w:t>）</w:t>
      </w:r>
      <w:r>
        <w:rPr>
          <w:spacing w:val="-128"/>
        </w:rPr>
        <w:t>；</w:t>
      </w:r>
      <w:r>
        <w:t>（</w:t>
      </w:r>
      <w:r>
        <w:rPr>
          <w:rFonts w:ascii="Times New Roman" w:hAnsi="Times New Roman" w:eastAsia="Times New Roman"/>
        </w:rPr>
        <w:t>3</w:t>
      </w:r>
      <w:r>
        <w:rPr>
          <w:spacing w:val="-8"/>
        </w:rPr>
        <w:t>）</w:t>
      </w:r>
      <w:r>
        <w:rPr>
          <w:spacing w:val="-32"/>
        </w:rPr>
        <w:t>投资者。</w:t>
      </w:r>
      <w:r>
        <w:t>（</w:t>
      </w:r>
      <w:r>
        <w:rPr>
          <w:rFonts w:hint="eastAsia" w:ascii="楷体" w:hAnsi="楷体" w:eastAsia="楷体"/>
          <w:i/>
          <w:w w:val="96"/>
          <w:sz w:val="22"/>
        </w:rPr>
        <w:t>或</w:t>
      </w:r>
      <w:r>
        <w:rPr>
          <w:i/>
          <w:spacing w:val="-2"/>
          <w:w w:val="96"/>
          <w:sz w:val="22"/>
        </w:rPr>
        <w:t>……</w:t>
      </w:r>
      <w:r>
        <w:rPr>
          <w:rFonts w:hint="eastAsia" w:ascii="楷体" w:hAnsi="楷体" w:eastAsia="楷体"/>
          <w:i/>
          <w:spacing w:val="-3"/>
          <w:w w:val="96"/>
          <w:sz w:val="22"/>
        </w:rPr>
        <w:t>包括发起人</w:t>
      </w:r>
    </w:p>
    <w:p w14:paraId="0BCCB23B">
      <w:pPr>
        <w:spacing w:before="0" w:line="280" w:lineRule="auto"/>
        <w:ind w:left="718" w:right="219" w:hanging="480"/>
        <w:jc w:val="left"/>
        <w:rPr>
          <w:sz w:val="24"/>
        </w:rPr>
      </w:pPr>
      <w:r>
        <w:rPr>
          <w:rFonts w:hint="eastAsia" w:ascii="楷体" w:hAnsi="楷体" w:eastAsia="楷体"/>
          <w:i/>
          <w:w w:val="95"/>
          <w:sz w:val="22"/>
        </w:rPr>
        <w:t>（</w:t>
      </w:r>
      <w:r>
        <w:rPr>
          <w:rFonts w:hint="eastAsia" w:ascii="楷体" w:hAnsi="楷体" w:eastAsia="楷体"/>
          <w:i/>
          <w:spacing w:val="-2"/>
          <w:w w:val="95"/>
          <w:sz w:val="22"/>
        </w:rPr>
        <w:t>服务人</w:t>
      </w:r>
      <w:r>
        <w:rPr>
          <w:rFonts w:hint="eastAsia" w:ascii="楷体" w:hAnsi="楷体" w:eastAsia="楷体"/>
          <w:i/>
          <w:spacing w:val="-106"/>
          <w:w w:val="95"/>
          <w:sz w:val="22"/>
        </w:rPr>
        <w:t>）</w:t>
      </w:r>
      <w:r>
        <w:rPr>
          <w:rFonts w:hint="eastAsia" w:ascii="楷体" w:hAnsi="楷体" w:eastAsia="楷体"/>
          <w:i/>
          <w:spacing w:val="-15"/>
          <w:w w:val="95"/>
          <w:sz w:val="22"/>
        </w:rPr>
        <w:t>、特设信托机构</w:t>
      </w:r>
      <w:r>
        <w:rPr>
          <w:rFonts w:hint="eastAsia" w:ascii="楷体" w:hAnsi="楷体" w:eastAsia="楷体"/>
          <w:i/>
          <w:w w:val="95"/>
          <w:sz w:val="22"/>
        </w:rPr>
        <w:t>（</w:t>
      </w:r>
      <w:r>
        <w:rPr>
          <w:rFonts w:ascii="Times New Roman" w:hAnsi="Times New Roman" w:eastAsia="Times New Roman"/>
          <w:i/>
          <w:w w:val="95"/>
          <w:sz w:val="21"/>
        </w:rPr>
        <w:t>special</w:t>
      </w:r>
      <w:r>
        <w:rPr>
          <w:rFonts w:ascii="Times New Roman" w:hAnsi="Times New Roman" w:eastAsia="Times New Roman"/>
          <w:i/>
          <w:spacing w:val="45"/>
          <w:w w:val="95"/>
          <w:sz w:val="21"/>
        </w:rPr>
        <w:t xml:space="preserve"> </w:t>
      </w:r>
      <w:r>
        <w:rPr>
          <w:rFonts w:ascii="Times New Roman" w:hAnsi="Times New Roman" w:eastAsia="Times New Roman"/>
          <w:i/>
          <w:w w:val="95"/>
          <w:sz w:val="21"/>
        </w:rPr>
        <w:t>purpose</w:t>
      </w:r>
      <w:r>
        <w:rPr>
          <w:rFonts w:ascii="Times New Roman" w:hAnsi="Times New Roman" w:eastAsia="Times New Roman"/>
          <w:i/>
          <w:spacing w:val="48"/>
          <w:w w:val="95"/>
          <w:sz w:val="21"/>
        </w:rPr>
        <w:t xml:space="preserve"> </w:t>
      </w:r>
      <w:r>
        <w:rPr>
          <w:rFonts w:ascii="Times New Roman" w:hAnsi="Times New Roman" w:eastAsia="Times New Roman"/>
          <w:i/>
          <w:spacing w:val="-6"/>
          <w:w w:val="95"/>
          <w:sz w:val="21"/>
        </w:rPr>
        <w:t>vehicle</w:t>
      </w:r>
      <w:r>
        <w:rPr>
          <w:rFonts w:hint="eastAsia" w:ascii="楷体" w:hAnsi="楷体" w:eastAsia="楷体"/>
          <w:i/>
          <w:spacing w:val="-3"/>
          <w:w w:val="95"/>
          <w:sz w:val="22"/>
        </w:rPr>
        <w:t xml:space="preserve">，简称 </w:t>
      </w:r>
      <w:r>
        <w:rPr>
          <w:rFonts w:ascii="Times New Roman" w:hAnsi="Times New Roman" w:eastAsia="Times New Roman"/>
          <w:i/>
          <w:w w:val="95"/>
          <w:sz w:val="21"/>
        </w:rPr>
        <w:t>SPV</w:t>
      </w:r>
      <w:r>
        <w:rPr>
          <w:rFonts w:ascii="Times New Roman" w:hAnsi="Times New Roman" w:eastAsia="Times New Roman"/>
          <w:i/>
          <w:spacing w:val="47"/>
          <w:w w:val="95"/>
          <w:sz w:val="21"/>
        </w:rPr>
        <w:t xml:space="preserve"> </w:t>
      </w:r>
      <w:r>
        <w:rPr>
          <w:rFonts w:hint="eastAsia" w:ascii="楷体" w:hAnsi="楷体" w:eastAsia="楷体"/>
          <w:i/>
          <w:spacing w:val="-3"/>
          <w:w w:val="95"/>
          <w:sz w:val="22"/>
        </w:rPr>
        <w:t>即发行人</w:t>
      </w:r>
      <w:r>
        <w:rPr>
          <w:rFonts w:hint="eastAsia" w:ascii="楷体" w:hAnsi="楷体" w:eastAsia="楷体"/>
          <w:i/>
          <w:spacing w:val="-36"/>
          <w:w w:val="95"/>
          <w:sz w:val="22"/>
        </w:rPr>
        <w:t>）</w:t>
      </w:r>
      <w:r>
        <w:rPr>
          <w:rFonts w:hint="eastAsia" w:ascii="楷体" w:hAnsi="楷体" w:eastAsia="楷体"/>
          <w:i/>
          <w:spacing w:val="-3"/>
          <w:w w:val="95"/>
          <w:sz w:val="22"/>
        </w:rPr>
        <w:t>和投资者三个主要交易主体</w:t>
      </w:r>
      <w:r>
        <w:rPr>
          <w:w w:val="95"/>
          <w:sz w:val="24"/>
        </w:rPr>
        <w:t xml:space="preserve">） </w:t>
      </w:r>
      <w:r>
        <w:rPr>
          <w:spacing w:val="-9"/>
          <w:sz w:val="24"/>
        </w:rPr>
        <w:t>投资银行把</w:t>
      </w:r>
      <w:r>
        <w:rPr>
          <w:rFonts w:hint="eastAsia"/>
          <w:spacing w:val="-9"/>
          <w:sz w:val="24"/>
          <w:lang w:val="en-US" w:eastAsia="zh-CN"/>
        </w:rPr>
        <w:t>这三个</w:t>
      </w:r>
      <w:r>
        <w:rPr>
          <w:spacing w:val="-9"/>
          <w:sz w:val="24"/>
        </w:rPr>
        <w:t xml:space="preserve">交易的主体组织起来，构建一个严谨有效的交易机构……图 </w:t>
      </w:r>
      <w:r>
        <w:rPr>
          <w:rFonts w:ascii="Times New Roman" w:hAnsi="Times New Roman" w:eastAsia="Times New Roman"/>
          <w:sz w:val="24"/>
        </w:rPr>
        <w:t xml:space="preserve">1 </w:t>
      </w:r>
      <w:r>
        <w:rPr>
          <w:sz w:val="24"/>
        </w:rPr>
        <w:t>给出</w:t>
      </w:r>
    </w:p>
    <w:p w14:paraId="3FA9DF07">
      <w:pPr>
        <w:pStyle w:val="8"/>
        <w:spacing w:before="1"/>
        <w:ind w:left="238"/>
      </w:pPr>
      <w:r>
        <w:t xml:space="preserve">的是一个典型的 </w:t>
      </w:r>
      <w:r>
        <w:rPr>
          <w:rFonts w:ascii="Times New Roman" w:hAnsi="Times New Roman" w:eastAsia="Times New Roman"/>
        </w:rPr>
        <w:t xml:space="preserve">ABS </w:t>
      </w:r>
      <w:r>
        <w:t>结构</w:t>
      </w:r>
      <w:r>
        <w:rPr>
          <w:position w:val="9"/>
          <w:sz w:val="12"/>
        </w:rPr>
        <w:t>①</w:t>
      </w:r>
      <w:r>
        <w:t>。</w:t>
      </w:r>
    </w:p>
    <w:p w14:paraId="1ADC5BA2">
      <w:pPr>
        <w:pStyle w:val="8"/>
        <w:rPr>
          <w:sz w:val="20"/>
        </w:rPr>
      </w:pPr>
    </w:p>
    <w:p w14:paraId="277131C1">
      <w:pPr>
        <w:pStyle w:val="8"/>
        <w:rPr>
          <w:sz w:val="20"/>
        </w:rPr>
      </w:pPr>
    </w:p>
    <w:p w14:paraId="0EB6E2E2">
      <w:pPr>
        <w:pStyle w:val="8"/>
        <w:rPr>
          <w:sz w:val="20"/>
        </w:rPr>
      </w:pPr>
    </w:p>
    <w:p w14:paraId="28549204">
      <w:pPr>
        <w:pStyle w:val="8"/>
        <w:rPr>
          <w:sz w:val="20"/>
        </w:rPr>
      </w:pPr>
    </w:p>
    <w:p w14:paraId="15AF0FD1">
      <w:pPr>
        <w:pStyle w:val="8"/>
        <w:spacing w:before="12"/>
        <w:rPr>
          <w:sz w:val="19"/>
        </w:rPr>
      </w:pPr>
    </w:p>
    <w:p w14:paraId="3CB8CFEB">
      <w:pPr>
        <w:spacing w:before="0"/>
        <w:ind w:left="1187" w:right="767" w:firstLine="0"/>
        <w:jc w:val="center"/>
        <w:rPr>
          <w:sz w:val="21"/>
        </w:rPr>
      </w:pPr>
      <w:r>
        <w:pict>
          <v:shape id="_x0000_s1027" o:spid="_x0000_s1027" style="position:absolute;left:0pt;margin-left:310.95pt;margin-top:-28.55pt;height:62.4pt;width:6pt;mso-position-horizontal-relative:page;z-index:-251648000;mso-width-relative:page;mso-height-relative:page;" fillcolor="#000000" filled="t" stroked="f" coordorigin="6219,-571" coordsize="120,1248" path="m6269,557l6219,557,6279,677,6329,577,6269,577,6269,557xm6288,-571l6268,-571,6269,577,6289,577,6288,-571xm6339,557l6289,557,6289,577,6329,577,6339,557xe">
            <v:path arrowok="t"/>
            <v:fill on="t" focussize="0,0"/>
            <v:stroke on="f"/>
            <v:imagedata o:title=""/>
            <o:lock v:ext="edit"/>
          </v:shape>
        </w:pict>
      </w:r>
      <w:r>
        <w:pict>
          <v:group id="_x0000_s1028" o:spid="_x0000_s1028" o:spt="203" style="position:absolute;left:0pt;margin-left:349.85pt;margin-top:-44.2pt;height:101.85pt;width:135.4pt;mso-position-horizontal-relative:page;z-index:-251645952;mso-width-relative:page;mso-height-relative:page;" coordorigin="6998,-884" coordsize="2708,2037">
            <o:lock v:ext="edit"/>
            <v:shape id="_x0000_s1029" o:spid="_x0000_s1029" style="position:absolute;left:6998;top:-884;height:1570;width:2165;" fillcolor="#000000" filled="t" stroked="f" coordorigin="6998,-884" coordsize="2165,1570" path="m7101,-822l7089,-806,9151,685,9163,669,7101,-822xm6998,-884l7060,-765,7089,-806,7073,-817,7085,-834,7110,-834,7130,-862,6998,-884xm7085,-834l7073,-817,7089,-806,7101,-822,7085,-834xm7110,-834l7085,-834,7101,-822,7110,-834xe">
              <v:path arrowok="t"/>
              <v:fill on="t" focussize="0,0"/>
              <v:stroke on="f"/>
              <v:imagedata o:title=""/>
              <o:lock v:ext="edit"/>
            </v:shape>
            <v:shape id="_x0000_s1030" o:spid="_x0000_s1030" o:spt="202" type="#_x0000_t202" style="position:absolute;left:8618;top:677;height:468;width:1080;" filled="f" stroked="t" coordsize="21600,21600">
              <v:path/>
              <v:fill on="f" focussize="0,0"/>
              <v:stroke color="#000000"/>
              <v:imagedata o:title=""/>
              <o:lock v:ext="edit"/>
              <v:textbox inset="0mm,0mm,0mm,0mm">
                <w:txbxContent>
                  <w:p w14:paraId="27128A52">
                    <w:pPr>
                      <w:spacing w:before="95"/>
                      <w:ind w:left="278" w:right="0" w:firstLine="0"/>
                      <w:jc w:val="left"/>
                      <w:rPr>
                        <w:sz w:val="21"/>
                      </w:rPr>
                    </w:pPr>
                    <w:r>
                      <w:rPr>
                        <w:sz w:val="21"/>
                      </w:rPr>
                      <w:t>投资者</w:t>
                    </w:r>
                  </w:p>
                </w:txbxContent>
              </v:textbox>
            </v:shape>
          </v:group>
        </w:pict>
      </w:r>
      <w:r>
        <w:pict>
          <v:group id="_x0000_s1031" o:spid="_x0000_s1031" o:spt="203" style="position:absolute;left:0pt;margin-left:124.5pt;margin-top:-52.3pt;height:117.85pt;width:224.65pt;mso-position-horizontal-relative:page;z-index:-251644928;mso-width-relative:page;mso-height-relative:page;" coordorigin="2491,-1047" coordsize="4493,2357">
            <o:lock v:ext="edit"/>
            <v:shape id="_x0000_s1032" o:spid="_x0000_s1032" style="position:absolute;left:3218;top:-893;height:1423;width:2346;" fillcolor="#000000" filled="t" stroked="f" coordorigin="3218,-893" coordsize="2346,1423" path="m5558,-571l5424,-560,5450,-517,3753,512,3763,530,5461,-500,5487,-457,5531,-528,5558,-571m5563,-875l5553,-893,3316,451,3290,408,3218,521,3352,511,3332,478,3326,468,5563,-875e">
              <v:path arrowok="t"/>
              <v:fill on="t" focussize="0,0"/>
              <v:stroke on="f"/>
              <v:imagedata o:title=""/>
              <o:lock v:ext="edit"/>
            </v:shape>
            <v:shape id="_x0000_s1033" o:spid="_x0000_s1033" o:spt="202" type="#_x0000_t202" style="position:absolute;left:3730;top:-462;height:212;width:702;" filled="f" stroked="f" coordsize="21600,21600">
              <v:path/>
              <v:fill on="f" focussize="0,0"/>
              <v:stroke on="f" joinstyle="miter"/>
              <v:imagedata o:title=""/>
              <o:lock v:ext="edit"/>
              <v:textbox inset="0mm,0mm,0mm,0mm">
                <w:txbxContent>
                  <w:p w14:paraId="766F47BD">
                    <w:pPr>
                      <w:spacing w:before="0" w:line="211" w:lineRule="exact"/>
                      <w:ind w:left="0" w:right="0" w:firstLine="0"/>
                      <w:jc w:val="left"/>
                      <w:rPr>
                        <w:sz w:val="21"/>
                      </w:rPr>
                    </w:pPr>
                    <w:r>
                      <w:rPr>
                        <w:spacing w:val="-41"/>
                        <w:sz w:val="21"/>
                      </w:rPr>
                      <w:t>资产转让</w:t>
                    </w:r>
                  </w:p>
                </w:txbxContent>
              </v:textbox>
            </v:shape>
            <v:shape id="_x0000_s1034" o:spid="_x0000_s1034" o:spt="202" type="#_x0000_t202" style="position:absolute;left:4729;top:28;height:212;width:702;" filled="f" stroked="f" coordsize="21600,21600">
              <v:path/>
              <v:fill on="f" focussize="0,0"/>
              <v:stroke on="f" joinstyle="miter"/>
              <v:imagedata o:title=""/>
              <o:lock v:ext="edit"/>
              <v:textbox inset="0mm,0mm,0mm,0mm">
                <w:txbxContent>
                  <w:p w14:paraId="6A115D29">
                    <w:pPr>
                      <w:spacing w:before="0" w:line="211" w:lineRule="exact"/>
                      <w:ind w:left="0" w:right="0" w:firstLine="0"/>
                      <w:jc w:val="left"/>
                      <w:rPr>
                        <w:sz w:val="21"/>
                      </w:rPr>
                    </w:pPr>
                    <w:r>
                      <w:rPr>
                        <w:spacing w:val="-41"/>
                        <w:sz w:val="21"/>
                      </w:rPr>
                      <w:t>转让价款</w:t>
                    </w:r>
                  </w:p>
                </w:txbxContent>
              </v:textbox>
            </v:shape>
            <v:shape id="_x0000_s1035" o:spid="_x0000_s1035" o:spt="202" type="#_x0000_t202" style="position:absolute;left:2498;top:521;height:782;width:1440;" filled="f" stroked="t" coordsize="21600,21600">
              <v:path/>
              <v:fill on="f" focussize="0,0"/>
              <v:stroke color="#000000"/>
              <v:imagedata o:title=""/>
              <o:lock v:ext="edit"/>
              <v:textbox inset="0mm,0mm,0mm,0mm">
                <w:txbxContent>
                  <w:p w14:paraId="53523A42">
                    <w:pPr>
                      <w:spacing w:before="95"/>
                      <w:ind w:left="73" w:right="73" w:firstLine="0"/>
                      <w:jc w:val="center"/>
                      <w:rPr>
                        <w:sz w:val="21"/>
                      </w:rPr>
                    </w:pPr>
                    <w:r>
                      <w:rPr>
                        <w:sz w:val="21"/>
                      </w:rPr>
                      <w:t>发起人</w:t>
                    </w:r>
                  </w:p>
                  <w:p w14:paraId="310F70F8">
                    <w:pPr>
                      <w:spacing w:before="43"/>
                      <w:ind w:left="129" w:right="73" w:firstLine="0"/>
                      <w:jc w:val="center"/>
                      <w:rPr>
                        <w:sz w:val="21"/>
                      </w:rPr>
                    </w:pPr>
                    <w:r>
                      <w:rPr>
                        <w:spacing w:val="-41"/>
                        <w:sz w:val="21"/>
                      </w:rPr>
                      <w:t>（原始权益人）</w:t>
                    </w:r>
                  </w:p>
                </w:txbxContent>
              </v:textbox>
            </v:shape>
            <v:shape id="_x0000_s1036" o:spid="_x0000_s1036" o:spt="202" type="#_x0000_t202" style="position:absolute;left:5558;top:-1039;height:468;width:1418;" filled="f" stroked="t" coordsize="21600,21600">
              <v:path/>
              <v:fill on="f" focussize="0,0"/>
              <v:stroke color="#000000"/>
              <v:imagedata o:title=""/>
              <o:lock v:ext="edit"/>
              <v:textbox inset="0mm,0mm,0mm,0mm">
                <w:txbxContent>
                  <w:p w14:paraId="11EABD7A">
                    <w:pPr>
                      <w:spacing w:before="95"/>
                      <w:ind w:left="145" w:right="0" w:firstLine="0"/>
                      <w:jc w:val="left"/>
                      <w:rPr>
                        <w:sz w:val="21"/>
                      </w:rPr>
                    </w:pPr>
                    <w:r>
                      <w:rPr>
                        <w:spacing w:val="-41"/>
                        <w:sz w:val="21"/>
                      </w:rPr>
                      <w:t>发行人</w:t>
                    </w:r>
                    <w:r>
                      <w:rPr>
                        <w:spacing w:val="-22"/>
                        <w:sz w:val="21"/>
                      </w:rPr>
                      <w:t>（</w:t>
                    </w:r>
                    <w:r>
                      <w:rPr>
                        <w:rFonts w:ascii="Times New Roman" w:eastAsia="Times New Roman"/>
                        <w:spacing w:val="-22"/>
                        <w:sz w:val="21"/>
                      </w:rPr>
                      <w:t>SPV</w:t>
                    </w:r>
                    <w:r>
                      <w:rPr>
                        <w:spacing w:val="-22"/>
                        <w:sz w:val="21"/>
                      </w:rPr>
                      <w:t>）</w:t>
                    </w:r>
                  </w:p>
                </w:txbxContent>
              </v:textbox>
            </v:shape>
          </v:group>
        </w:pict>
      </w:r>
      <w:r>
        <w:rPr>
          <w:rFonts w:ascii="Times New Roman" w:eastAsia="Times New Roman"/>
          <w:sz w:val="21"/>
        </w:rPr>
        <w:t xml:space="preserve">100% </w:t>
      </w:r>
      <w:r>
        <w:rPr>
          <w:sz w:val="21"/>
        </w:rPr>
        <w:t>所有权</w:t>
      </w:r>
    </w:p>
    <w:p w14:paraId="12B300DF">
      <w:pPr>
        <w:pStyle w:val="8"/>
        <w:spacing w:before="1"/>
        <w:rPr>
          <w:sz w:val="22"/>
        </w:rPr>
      </w:pPr>
    </w:p>
    <w:p w14:paraId="5810B1EE">
      <w:pPr>
        <w:spacing w:before="72" w:line="278" w:lineRule="auto"/>
        <w:ind w:left="6151" w:right="2991" w:firstLine="0"/>
        <w:jc w:val="left"/>
        <w:rPr>
          <w:sz w:val="21"/>
        </w:rPr>
      </w:pPr>
      <w:r>
        <w:pict>
          <v:group id="_x0000_s1037" o:spid="_x0000_s1037" o:spt="203" style="position:absolute;left:0pt;margin-left:133.5pt;margin-top:5.85pt;height:122.65pt;width:328.85pt;mso-position-horizontal-relative:page;z-index:-251649024;mso-width-relative:page;mso-height-relative:page;" coordorigin="2670,118" coordsize="6577,2453">
            <o:lock v:ext="edit"/>
            <v:rect id="_x0000_s1038" o:spid="_x0000_s1038" o:spt="1" style="position:absolute;left:5558;top:1997;height:566;width:1418;" fillcolor="#FFFFFF" filled="t" stroked="f" coordsize="21600,21600">
              <v:path/>
              <v:fill on="t" focussize="0,0"/>
              <v:stroke on="f"/>
              <v:imagedata o:title=""/>
              <o:lock v:ext="edit"/>
            </v:rect>
            <v:shape id="_x0000_s1039" o:spid="_x0000_s1039" style="position:absolute;left:3931;top:593;height:1413;width:5226;" fillcolor="#000000" filled="t" stroked="f" coordorigin="3932,593" coordsize="5226,1413" path="m5558,1997l5532,1944,5500,1876,5469,1916,3944,741,3932,757,5457,1932,5426,1971,5558,1997m6338,1877l6288,1877,6288,593,6268,593,6268,1877,6218,1877,6278,1997,6328,1897,6338,1877m9157,593l9024,608,9051,650,6993,1989,7003,2005,9062,667,9089,709,9130,639,9157,593e">
              <v:path arrowok="t"/>
              <v:fill on="t" focussize="0,0"/>
              <v:stroke on="f"/>
              <v:imagedata o:title=""/>
              <o:lock v:ext="edit"/>
            </v:shape>
            <v:shape id="_x0000_s1040" o:spid="_x0000_s1040" o:spt="202" type="#_x0000_t202" style="position:absolute;left:4426;top:724;height:524;width:865;" filled="f" stroked="f" coordsize="21600,21600">
              <v:path/>
              <v:fill on="f" focussize="0,0"/>
              <v:stroke on="f" joinstyle="miter"/>
              <v:imagedata o:title=""/>
              <o:lock v:ext="edit"/>
              <v:textbox inset="0mm,0mm,0mm,0mm">
                <w:txbxContent>
                  <w:p w14:paraId="2BD1C324">
                    <w:pPr>
                      <w:spacing w:before="0" w:line="241" w:lineRule="exact"/>
                      <w:ind w:left="0" w:right="0" w:firstLine="0"/>
                      <w:jc w:val="left"/>
                      <w:rPr>
                        <w:sz w:val="21"/>
                      </w:rPr>
                    </w:pPr>
                    <w:r>
                      <w:rPr>
                        <w:sz w:val="21"/>
                      </w:rPr>
                      <w:t>定期收取</w:t>
                    </w:r>
                  </w:p>
                  <w:p w14:paraId="31335AF8">
                    <w:pPr>
                      <w:spacing w:before="43" w:line="240" w:lineRule="exact"/>
                      <w:ind w:left="83" w:right="0" w:firstLine="0"/>
                      <w:jc w:val="left"/>
                      <w:rPr>
                        <w:sz w:val="21"/>
                      </w:rPr>
                    </w:pPr>
                    <w:r>
                      <w:rPr>
                        <w:spacing w:val="-41"/>
                        <w:sz w:val="21"/>
                      </w:rPr>
                      <w:t>债券本息</w:t>
                    </w:r>
                  </w:p>
                </w:txbxContent>
              </v:textbox>
            </v:shape>
            <v:shape id="_x0000_s1041" o:spid="_x0000_s1041" o:spt="202" type="#_x0000_t202" style="position:absolute;left:5782;top:1038;height:212;width:832;" filled="f" stroked="f" coordsize="21600,21600">
              <v:path/>
              <v:fill on="f" focussize="0,0"/>
              <v:stroke on="f" joinstyle="miter"/>
              <v:imagedata o:title=""/>
              <o:lock v:ext="edit"/>
              <v:textbox inset="0mm,0mm,0mm,0mm">
                <w:txbxContent>
                  <w:p w14:paraId="3BA39D95">
                    <w:pPr>
                      <w:spacing w:before="0" w:line="211" w:lineRule="exact"/>
                      <w:ind w:left="0" w:right="0" w:firstLine="0"/>
                      <w:jc w:val="left"/>
                      <w:rPr>
                        <w:sz w:val="21"/>
                      </w:rPr>
                    </w:pPr>
                    <w:r>
                      <w:rPr>
                        <w:spacing w:val="-29"/>
                        <w:sz w:val="21"/>
                      </w:rPr>
                      <w:t>抵押 担保</w:t>
                    </w:r>
                  </w:p>
                </w:txbxContent>
              </v:textbox>
            </v:shape>
            <v:shape id="_x0000_s1042" o:spid="_x0000_s1042" o:spt="202" type="#_x0000_t202" style="position:absolute;left:3550;top:1348;height:212;width:443;" filled="f" stroked="f" coordsize="21600,21600">
              <v:path/>
              <v:fill on="f" focussize="0,0"/>
              <v:stroke on="f" joinstyle="miter"/>
              <v:imagedata o:title=""/>
              <o:lock v:ext="edit"/>
              <v:textbox inset="0mm,0mm,0mm,0mm">
                <w:txbxContent>
                  <w:p w14:paraId="46151B00">
                    <w:pPr>
                      <w:spacing w:before="0" w:line="211" w:lineRule="exact"/>
                      <w:ind w:left="0" w:right="0" w:firstLine="0"/>
                      <w:jc w:val="left"/>
                      <w:rPr>
                        <w:sz w:val="21"/>
                      </w:rPr>
                    </w:pPr>
                    <w:r>
                      <w:rPr>
                        <w:sz w:val="21"/>
                      </w:rPr>
                      <w:t>债权</w:t>
                    </w:r>
                  </w:p>
                </w:txbxContent>
              </v:textbox>
            </v:shape>
            <v:shape id="_x0000_s1043" o:spid="_x0000_s1043" o:spt="202" type="#_x0000_t202" style="position:absolute;left:8051;top:1192;height:524;width:1196;" filled="f" stroked="f" coordsize="21600,21600">
              <v:path/>
              <v:fill on="f" focussize="0,0"/>
              <v:stroke on="f" joinstyle="miter"/>
              <v:imagedata o:title=""/>
              <o:lock v:ext="edit"/>
              <v:textbox inset="0mm,0mm,0mm,0mm">
                <w:txbxContent>
                  <w:p w14:paraId="2B00B3A6">
                    <w:pPr>
                      <w:spacing w:before="0" w:line="241" w:lineRule="exact"/>
                      <w:ind w:left="340" w:right="0" w:firstLine="0"/>
                      <w:jc w:val="left"/>
                      <w:rPr>
                        <w:sz w:val="21"/>
                      </w:rPr>
                    </w:pPr>
                    <w:r>
                      <w:rPr>
                        <w:sz w:val="21"/>
                      </w:rPr>
                      <w:t>定期支付</w:t>
                    </w:r>
                  </w:p>
                  <w:p w14:paraId="380DA2F4">
                    <w:pPr>
                      <w:spacing w:before="43" w:line="240" w:lineRule="exact"/>
                      <w:ind w:left="0" w:right="0" w:firstLine="0"/>
                      <w:jc w:val="left"/>
                      <w:rPr>
                        <w:sz w:val="21"/>
                      </w:rPr>
                    </w:pPr>
                    <w:r>
                      <w:rPr>
                        <w:sz w:val="21"/>
                      </w:rPr>
                      <w:t>债券本息</w:t>
                    </w:r>
                  </w:p>
                </w:txbxContent>
              </v:textbox>
            </v:shape>
            <v:shape id="_x0000_s1044" o:spid="_x0000_s1044" o:spt="202" type="#_x0000_t202" style="position:absolute;left:5558;top:1997;height:566;width:1418;" filled="f" stroked="t" coordsize="21600,21600">
              <v:path/>
              <v:fill on="f" focussize="0,0"/>
              <v:stroke color="#000000"/>
              <v:imagedata o:title=""/>
              <o:lock v:ext="edit"/>
              <v:textbox inset="0mm,0mm,0mm,0mm">
                <w:txbxContent>
                  <w:p w14:paraId="4E05360F">
                    <w:pPr>
                      <w:spacing w:before="96"/>
                      <w:ind w:left="145" w:right="0" w:firstLine="0"/>
                      <w:jc w:val="left"/>
                      <w:rPr>
                        <w:sz w:val="21"/>
                      </w:rPr>
                    </w:pPr>
                    <w:r>
                      <w:rPr>
                        <w:spacing w:val="-41"/>
                        <w:sz w:val="21"/>
                      </w:rPr>
                      <w:t>受托管理机构</w:t>
                    </w:r>
                  </w:p>
                </w:txbxContent>
              </v:textbox>
            </v:shape>
            <v:shape id="_x0000_s1045" o:spid="_x0000_s1045" o:spt="202" type="#_x0000_t202" style="position:absolute;left:2678;top:1997;height:469;width:1260;" filled="f" stroked="t" coordsize="21600,21600">
              <v:path/>
              <v:fill on="f" focussize="0,0"/>
              <v:stroke color="#000000"/>
              <v:imagedata o:title=""/>
              <o:lock v:ext="edit"/>
              <v:textbox inset="0mm,0mm,0mm,0mm">
                <w:txbxContent>
                  <w:p w14:paraId="2901C818">
                    <w:pPr>
                      <w:spacing w:before="96"/>
                      <w:ind w:left="228" w:right="0" w:firstLine="0"/>
                      <w:jc w:val="left"/>
                      <w:rPr>
                        <w:sz w:val="21"/>
                      </w:rPr>
                    </w:pPr>
                    <w:r>
                      <w:rPr>
                        <w:spacing w:val="-41"/>
                        <w:sz w:val="21"/>
                      </w:rPr>
                      <w:t>原始债务人</w:t>
                    </w:r>
                  </w:p>
                </w:txbxContent>
              </v:textbox>
            </v:shape>
            <v:shape id="_x0000_s1046" o:spid="_x0000_s1046" o:spt="202" type="#_x0000_t202" style="position:absolute;left:5558;top:125;height:468;width:1439;" filled="f" stroked="t" coordsize="21600,21600">
              <v:path/>
              <v:fill on="f" focussize="0,0"/>
              <v:stroke color="#000000"/>
              <v:imagedata o:title=""/>
              <o:lock v:ext="edit"/>
              <v:textbox inset="0mm,0mm,0mm,0mm">
                <w:txbxContent>
                  <w:p w14:paraId="0C1F44DC">
                    <w:pPr>
                      <w:spacing w:before="95"/>
                      <w:ind w:left="274" w:right="0" w:firstLine="0"/>
                      <w:jc w:val="left"/>
                      <w:rPr>
                        <w:sz w:val="21"/>
                      </w:rPr>
                    </w:pPr>
                    <w:r>
                      <w:rPr>
                        <w:sz w:val="21"/>
                      </w:rPr>
                      <w:t>资产组合</w:t>
                    </w:r>
                  </w:p>
                </w:txbxContent>
              </v:textbox>
            </v:shape>
          </v:group>
        </w:pict>
      </w:r>
      <w:r>
        <w:pict>
          <v:shape id="_x0000_s1047" o:spid="_x0000_s1047" style="position:absolute;left:0pt;margin-left:349.85pt;margin-top:17.75pt;height:6pt;width:81pt;mso-position-horizontal-relative:page;z-index:-251646976;mso-width-relative:page;mso-height-relative:page;" fillcolor="#000000" filled="t" stroked="f" coordorigin="6998,355" coordsize="1620,120" path="m8498,425l8498,475,8598,425,8498,425xm8498,405l8498,425,8518,425,8518,405,8498,405xm8498,355l8498,405,8518,405,8518,425,8598,425,8618,415,8498,355xm6998,404l6998,424,8498,425,8498,405,6998,404xe">
            <v:path arrowok="t"/>
            <v:fill on="t" focussize="0,0"/>
            <v:stroke on="f"/>
            <v:imagedata o:title=""/>
            <o:lock v:ext="edit"/>
          </v:shape>
        </w:pict>
      </w:r>
      <w:r>
        <w:rPr>
          <w:spacing w:val="-46"/>
          <w:sz w:val="21"/>
        </w:rPr>
        <w:t>发行资产担保债券</w:t>
      </w:r>
    </w:p>
    <w:p w14:paraId="44324997">
      <w:pPr>
        <w:pStyle w:val="8"/>
        <w:rPr>
          <w:sz w:val="20"/>
        </w:rPr>
      </w:pPr>
    </w:p>
    <w:p w14:paraId="6E59C874">
      <w:pPr>
        <w:pStyle w:val="8"/>
        <w:spacing w:before="7"/>
        <w:rPr>
          <w:sz w:val="16"/>
        </w:rPr>
      </w:pPr>
    </w:p>
    <w:p w14:paraId="38CA1EB5">
      <w:pPr>
        <w:spacing w:before="0" w:line="278" w:lineRule="auto"/>
        <w:ind w:left="930" w:right="8383" w:firstLine="0"/>
        <w:jc w:val="left"/>
        <w:rPr>
          <w:sz w:val="21"/>
        </w:rPr>
      </w:pPr>
      <w:r>
        <w:pict>
          <v:shape id="_x0000_s1048" o:spid="_x0000_s1048" style="position:absolute;left:0pt;margin-left:166.9pt;margin-top:-20.75pt;height:62.4pt;width:6pt;mso-position-horizontal-relative:page;z-index:251674624;mso-width-relative:page;mso-height-relative:page;" fillcolor="#000000" filled="t" stroked="f" coordorigin="3339,-415" coordsize="120,1248" path="m3409,-315l3389,-315,3388,833,3408,833,3409,-315xm3399,-415l3339,-295,3389,-295,3389,-315,3449,-315,3399,-415xm3449,-315l3409,-315,3409,-295,3459,-295,3449,-315xe">
            <v:path arrowok="t"/>
            <v:fill on="t" focussize="0,0"/>
            <v:stroke on="f"/>
            <v:imagedata o:title=""/>
            <o:lock v:ext="edit"/>
          </v:shape>
        </w:pict>
      </w:r>
      <w:r>
        <w:pict>
          <v:shape id="_x0000_s1049" o:spid="_x0000_s1049" style="position:absolute;left:0pt;margin-left:148.85pt;margin-top:-20.75pt;height:62.4pt;width:6pt;mso-position-horizontal-relative:page;z-index:251675648;mso-width-relative:page;mso-height-relative:page;" fillcolor="#000000" filled="t" stroked="f" coordorigin="2978,-415" coordsize="120,1248" path="m3028,713l2978,713,3038,833,3088,733,3028,733,3028,713xm3048,-415l3028,-415,3028,733,3048,733,3048,-415xm3098,713l3048,713,3048,733,3088,733,3098,713xe">
            <v:path arrowok="t"/>
            <v:fill on="t" focussize="0,0"/>
            <v:stroke on="f"/>
            <v:imagedata o:title=""/>
            <o:lock v:ext="edit"/>
          </v:shape>
        </w:pict>
      </w:r>
      <w:r>
        <w:rPr>
          <w:spacing w:val="-47"/>
          <w:sz w:val="21"/>
        </w:rPr>
        <w:t>债务本金偿还</w:t>
      </w:r>
    </w:p>
    <w:p w14:paraId="2BC1634E">
      <w:pPr>
        <w:pStyle w:val="8"/>
        <w:rPr>
          <w:sz w:val="20"/>
        </w:rPr>
      </w:pPr>
    </w:p>
    <w:p w14:paraId="6A3D2B94">
      <w:pPr>
        <w:pStyle w:val="8"/>
        <w:spacing w:before="12"/>
        <w:rPr>
          <w:sz w:val="29"/>
        </w:rPr>
      </w:pPr>
    </w:p>
    <w:p w14:paraId="0C221CF3">
      <w:pPr>
        <w:pStyle w:val="8"/>
        <w:spacing w:before="67"/>
        <w:ind w:left="12"/>
        <w:jc w:val="center"/>
      </w:pPr>
      <w:r>
        <w:t xml:space="preserve"> </w:t>
      </w:r>
    </w:p>
    <w:p w14:paraId="37BF6997">
      <w:pPr>
        <w:pStyle w:val="7"/>
        <w:tabs>
          <w:tab w:val="left" w:pos="662"/>
        </w:tabs>
        <w:spacing w:before="71"/>
        <w:ind w:right="124"/>
        <w:jc w:val="center"/>
      </w:pPr>
      <w:r>
        <w:t>图</w:t>
      </w:r>
      <w:r>
        <w:rPr>
          <w:spacing w:val="-60"/>
        </w:rPr>
        <w:t xml:space="preserve"> </w:t>
      </w:r>
      <w:r>
        <w:rPr>
          <w:rFonts w:ascii="Times New Roman" w:eastAsia="Times New Roman"/>
        </w:rPr>
        <w:t>1</w:t>
      </w:r>
      <w:r>
        <w:rPr>
          <w:rFonts w:ascii="Times New Roman" w:eastAsia="Times New Roman"/>
        </w:rPr>
        <w:tab/>
      </w:r>
      <w:r>
        <w:t>典型的资产担保债券（</w:t>
      </w:r>
      <w:r>
        <w:rPr>
          <w:rFonts w:ascii="Times New Roman" w:eastAsia="Times New Roman"/>
        </w:rPr>
        <w:t>ABS</w:t>
      </w:r>
      <w:r>
        <w:t>）结构图</w:t>
      </w:r>
    </w:p>
    <w:p w14:paraId="2E038D78">
      <w:pPr>
        <w:pStyle w:val="8"/>
        <w:spacing w:before="6"/>
        <w:rPr>
          <w:b/>
          <w:sz w:val="20"/>
        </w:rPr>
      </w:pPr>
    </w:p>
    <w:p w14:paraId="44D26D29">
      <w:pPr>
        <w:pStyle w:val="8"/>
        <w:spacing w:before="74"/>
        <w:ind w:left="718"/>
      </w:pPr>
      <w:r>
        <w:t xml:space="preserve">从图 </w:t>
      </w:r>
      <w:r>
        <w:rPr>
          <w:rFonts w:ascii="Times New Roman" w:hAnsi="Times New Roman" w:eastAsia="Times New Roman"/>
        </w:rPr>
        <w:t xml:space="preserve">1 </w:t>
      </w:r>
      <w:r>
        <w:t>可见，在以上基本交易结构的基础上，资产证券化的运作……</w:t>
      </w:r>
    </w:p>
    <w:p w14:paraId="5CDA071D">
      <w:pPr>
        <w:pStyle w:val="8"/>
        <w:spacing w:before="84"/>
        <w:ind w:left="718"/>
      </w:pPr>
      <w:r>
        <w:t xml:space="preserve">………… </w:t>
      </w:r>
    </w:p>
    <w:p w14:paraId="349A380C">
      <w:pPr>
        <w:pStyle w:val="8"/>
        <w:spacing w:before="88"/>
        <w:ind w:left="718"/>
      </w:pPr>
      <w:r>
        <w:t>尽管某些回购协议不能满足上表中所列出的所有条件，结论却是卖方保留了控制权</w:t>
      </w:r>
    </w:p>
    <w:p w14:paraId="6AA51D10">
      <w:pPr>
        <w:pStyle w:val="8"/>
        <w:spacing w:before="53" w:line="280" w:lineRule="auto"/>
        <w:ind w:left="238" w:right="345"/>
      </w:pPr>
      <w:r>
        <w:t>（即卖方保留有效控制权不须满足上述所有条件</w:t>
      </w:r>
      <w:r>
        <w:rPr>
          <w:spacing w:val="-120"/>
        </w:rPr>
        <w:t>）</w:t>
      </w:r>
      <w:r>
        <w:rPr>
          <w:spacing w:val="-1"/>
        </w:rPr>
        <w:t>。另外，卖方的回购协议一般使卖方保</w:t>
      </w:r>
      <w:r>
        <w:rPr>
          <w:spacing w:val="-5"/>
        </w:rPr>
        <w:t xml:space="preserve">留了控制权，其具体情况如表 </w:t>
      </w:r>
      <w:r>
        <w:rPr>
          <w:rFonts w:ascii="Times New Roman" w:hAnsi="Times New Roman" w:eastAsia="Times New Roman"/>
        </w:rPr>
        <w:t xml:space="preserve">2 </w:t>
      </w:r>
      <w:r>
        <w:t>所示</w:t>
      </w:r>
      <w:r>
        <w:rPr>
          <w:position w:val="9"/>
          <w:sz w:val="12"/>
        </w:rPr>
        <w:t>②</w:t>
      </w:r>
      <w:r>
        <w:t>。</w:t>
      </w:r>
    </w:p>
    <w:p w14:paraId="6BAF34DE">
      <w:pPr>
        <w:pStyle w:val="7"/>
        <w:spacing w:before="111" w:after="2"/>
        <w:ind w:left="3263"/>
      </w:pPr>
      <w:r>
        <w:t>表 2 不同回购协议的性质比较表</w:t>
      </w:r>
      <w:r>
        <w:rPr>
          <w:w w:val="99"/>
        </w:rPr>
        <w:t xml:space="preserve"> </w:t>
      </w:r>
    </w:p>
    <w:tbl>
      <w:tblPr>
        <w:tblStyle w:val="11"/>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3"/>
        <w:gridCol w:w="1440"/>
        <w:gridCol w:w="2700"/>
        <w:gridCol w:w="2362"/>
      </w:tblGrid>
      <w:tr w14:paraId="4644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003" w:type="dxa"/>
            <w:tcBorders>
              <w:left w:val="nil"/>
            </w:tcBorders>
          </w:tcPr>
          <w:p w14:paraId="23DA83BD">
            <w:pPr>
              <w:pStyle w:val="15"/>
              <w:spacing w:before="137"/>
              <w:ind w:left="206" w:right="73"/>
              <w:rPr>
                <w:rFonts w:hint="eastAsia" w:ascii="宋体" w:eastAsia="宋体"/>
                <w:sz w:val="21"/>
              </w:rPr>
            </w:pPr>
            <w:r>
              <w:rPr>
                <w:rFonts w:hint="eastAsia" w:ascii="宋体" w:eastAsia="宋体"/>
                <w:sz w:val="21"/>
              </w:rPr>
              <w:t xml:space="preserve">回购协议的性质 </w:t>
            </w:r>
          </w:p>
        </w:tc>
        <w:tc>
          <w:tcPr>
            <w:tcW w:w="1440" w:type="dxa"/>
          </w:tcPr>
          <w:p w14:paraId="1613B75D">
            <w:pPr>
              <w:pStyle w:val="15"/>
              <w:spacing w:before="137"/>
              <w:ind w:left="194"/>
              <w:jc w:val="left"/>
              <w:rPr>
                <w:rFonts w:hint="eastAsia" w:ascii="宋体" w:eastAsia="宋体"/>
                <w:sz w:val="21"/>
              </w:rPr>
            </w:pPr>
            <w:r>
              <w:rPr>
                <w:rFonts w:hint="eastAsia" w:ascii="宋体" w:eastAsia="宋体"/>
                <w:sz w:val="21"/>
              </w:rPr>
              <w:t xml:space="preserve">转移的资产 </w:t>
            </w:r>
          </w:p>
        </w:tc>
        <w:tc>
          <w:tcPr>
            <w:tcW w:w="2700" w:type="dxa"/>
          </w:tcPr>
          <w:p w14:paraId="5E922DB9">
            <w:pPr>
              <w:pStyle w:val="15"/>
              <w:spacing w:before="1"/>
              <w:ind w:left="153" w:right="38"/>
              <w:rPr>
                <w:rFonts w:hint="eastAsia" w:ascii="宋体" w:eastAsia="宋体"/>
                <w:sz w:val="21"/>
              </w:rPr>
            </w:pPr>
            <w:r>
              <w:rPr>
                <w:rFonts w:hint="eastAsia" w:ascii="宋体" w:eastAsia="宋体"/>
                <w:sz w:val="21"/>
              </w:rPr>
              <w:t xml:space="preserve">卖方的会计处理 </w:t>
            </w:r>
          </w:p>
          <w:p w14:paraId="2821201C">
            <w:pPr>
              <w:pStyle w:val="15"/>
              <w:spacing w:before="4" w:line="250" w:lineRule="exact"/>
              <w:ind w:left="160" w:right="38"/>
              <w:rPr>
                <w:rFonts w:hint="eastAsia" w:ascii="宋体" w:eastAsia="宋体"/>
                <w:sz w:val="21"/>
              </w:rPr>
            </w:pPr>
            <w:r>
              <w:rPr>
                <w:rFonts w:hint="eastAsia" w:ascii="宋体" w:eastAsia="宋体"/>
                <w:sz w:val="21"/>
              </w:rPr>
              <w:t>（</w:t>
            </w:r>
            <w:r>
              <w:rPr>
                <w:rFonts w:hint="eastAsia" w:ascii="宋体" w:eastAsia="宋体"/>
                <w:spacing w:val="-3"/>
                <w:sz w:val="21"/>
              </w:rPr>
              <w:t>假设另两个条件已满足</w:t>
            </w:r>
            <w:r>
              <w:rPr>
                <w:rFonts w:hint="eastAsia" w:ascii="宋体" w:eastAsia="宋体"/>
                <w:spacing w:val="-39"/>
                <w:sz w:val="21"/>
              </w:rPr>
              <w:t>）</w:t>
            </w:r>
            <w:r>
              <w:rPr>
                <w:rFonts w:hint="eastAsia" w:ascii="宋体" w:eastAsia="宋体"/>
                <w:sz w:val="21"/>
              </w:rPr>
              <w:t xml:space="preserve"> </w:t>
            </w:r>
          </w:p>
        </w:tc>
        <w:tc>
          <w:tcPr>
            <w:tcW w:w="2362" w:type="dxa"/>
            <w:tcBorders>
              <w:right w:val="nil"/>
            </w:tcBorders>
          </w:tcPr>
          <w:p w14:paraId="329D2C1A">
            <w:pPr>
              <w:pStyle w:val="15"/>
              <w:spacing w:before="137"/>
              <w:ind w:left="311" w:right="221"/>
              <w:rPr>
                <w:rFonts w:hint="eastAsia" w:ascii="宋体" w:eastAsia="宋体"/>
                <w:sz w:val="21"/>
              </w:rPr>
            </w:pPr>
            <w:r>
              <w:rPr>
                <w:rFonts w:hint="eastAsia" w:ascii="宋体" w:eastAsia="宋体"/>
                <w:sz w:val="21"/>
              </w:rPr>
              <w:t xml:space="preserve">备注 </w:t>
            </w:r>
          </w:p>
        </w:tc>
      </w:tr>
      <w:tr w14:paraId="2EAD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003" w:type="dxa"/>
            <w:tcBorders>
              <w:left w:val="nil"/>
            </w:tcBorders>
          </w:tcPr>
          <w:p w14:paraId="127D3C4D">
            <w:pPr>
              <w:pStyle w:val="15"/>
              <w:spacing w:before="3" w:line="250" w:lineRule="exact"/>
              <w:ind w:left="206" w:right="176"/>
              <w:rPr>
                <w:rFonts w:hint="eastAsia" w:ascii="宋体" w:eastAsia="宋体"/>
                <w:sz w:val="21"/>
              </w:rPr>
            </w:pPr>
            <w:r>
              <w:rPr>
                <w:rFonts w:hint="eastAsia" w:ascii="宋体" w:eastAsia="宋体"/>
                <w:sz w:val="21"/>
              </w:rPr>
              <w:t xml:space="preserve">符合表 </w:t>
            </w:r>
            <w:r>
              <w:rPr>
                <w:sz w:val="21"/>
              </w:rPr>
              <w:t xml:space="preserve">1 </w:t>
            </w:r>
            <w:r>
              <w:rPr>
                <w:rFonts w:hint="eastAsia" w:ascii="宋体" w:eastAsia="宋体"/>
                <w:sz w:val="21"/>
              </w:rPr>
              <w:t>条件的回购协议</w:t>
            </w:r>
          </w:p>
        </w:tc>
        <w:tc>
          <w:tcPr>
            <w:tcW w:w="1440" w:type="dxa"/>
          </w:tcPr>
          <w:p w14:paraId="4C5786D8">
            <w:pPr>
              <w:pStyle w:val="15"/>
              <w:spacing w:before="3" w:line="250" w:lineRule="exact"/>
              <w:ind w:left="299"/>
              <w:jc w:val="left"/>
              <w:rPr>
                <w:rFonts w:hint="eastAsia" w:ascii="宋体" w:eastAsia="宋体"/>
                <w:sz w:val="21"/>
              </w:rPr>
            </w:pPr>
            <w:r>
              <w:rPr>
                <w:rFonts w:hint="eastAsia" w:ascii="宋体" w:eastAsia="宋体"/>
                <w:sz w:val="21"/>
              </w:rPr>
              <w:t>容易获得</w:t>
            </w:r>
          </w:p>
        </w:tc>
        <w:tc>
          <w:tcPr>
            <w:tcW w:w="2700" w:type="dxa"/>
          </w:tcPr>
          <w:p w14:paraId="042E1F41">
            <w:pPr>
              <w:pStyle w:val="15"/>
              <w:spacing w:before="3" w:line="250" w:lineRule="exact"/>
              <w:ind w:left="50" w:right="38"/>
              <w:rPr>
                <w:rFonts w:hint="eastAsia" w:ascii="宋体" w:eastAsia="宋体"/>
                <w:sz w:val="21"/>
              </w:rPr>
            </w:pPr>
            <w:r>
              <w:rPr>
                <w:rFonts w:hint="eastAsia" w:ascii="宋体" w:eastAsia="宋体"/>
                <w:sz w:val="21"/>
              </w:rPr>
              <w:t>融资</w:t>
            </w:r>
          </w:p>
        </w:tc>
        <w:tc>
          <w:tcPr>
            <w:tcW w:w="2362" w:type="dxa"/>
            <w:tcBorders>
              <w:right w:val="nil"/>
            </w:tcBorders>
          </w:tcPr>
          <w:p w14:paraId="43688380">
            <w:pPr>
              <w:pStyle w:val="15"/>
              <w:jc w:val="left"/>
              <w:rPr>
                <w:sz w:val="20"/>
              </w:rPr>
            </w:pPr>
          </w:p>
        </w:tc>
      </w:tr>
      <w:tr w14:paraId="5F446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003" w:type="dxa"/>
            <w:tcBorders>
              <w:left w:val="nil"/>
            </w:tcBorders>
          </w:tcPr>
          <w:p w14:paraId="15AD8E24">
            <w:pPr>
              <w:pStyle w:val="15"/>
              <w:spacing w:before="1" w:line="252" w:lineRule="exact"/>
              <w:ind w:left="206" w:right="176"/>
              <w:rPr>
                <w:rFonts w:hint="eastAsia" w:ascii="宋体" w:eastAsia="宋体"/>
                <w:sz w:val="21"/>
              </w:rPr>
            </w:pPr>
            <w:r>
              <w:rPr>
                <w:rFonts w:hint="eastAsia" w:ascii="宋体" w:eastAsia="宋体"/>
                <w:sz w:val="21"/>
              </w:rPr>
              <w:t xml:space="preserve">符合表 </w:t>
            </w:r>
            <w:r>
              <w:rPr>
                <w:sz w:val="21"/>
              </w:rPr>
              <w:t xml:space="preserve">1 </w:t>
            </w:r>
            <w:r>
              <w:rPr>
                <w:rFonts w:hint="eastAsia" w:ascii="宋体" w:eastAsia="宋体"/>
                <w:sz w:val="21"/>
              </w:rPr>
              <w:t>条件的回购协议</w:t>
            </w:r>
          </w:p>
        </w:tc>
        <w:tc>
          <w:tcPr>
            <w:tcW w:w="1440" w:type="dxa"/>
          </w:tcPr>
          <w:p w14:paraId="5EFC448E">
            <w:pPr>
              <w:pStyle w:val="15"/>
              <w:spacing w:before="1" w:line="252" w:lineRule="exact"/>
              <w:ind w:left="194"/>
              <w:jc w:val="left"/>
              <w:rPr>
                <w:rFonts w:hint="eastAsia" w:ascii="宋体" w:eastAsia="宋体"/>
                <w:sz w:val="21"/>
              </w:rPr>
            </w:pPr>
            <w:r>
              <w:rPr>
                <w:rFonts w:hint="eastAsia" w:ascii="宋体" w:eastAsia="宋体"/>
                <w:sz w:val="21"/>
              </w:rPr>
              <w:t>不容易获得</w:t>
            </w:r>
          </w:p>
        </w:tc>
        <w:tc>
          <w:tcPr>
            <w:tcW w:w="2700" w:type="dxa"/>
          </w:tcPr>
          <w:p w14:paraId="3D043632">
            <w:pPr>
              <w:pStyle w:val="15"/>
              <w:spacing w:before="1" w:line="252" w:lineRule="exact"/>
              <w:ind w:left="50" w:right="38"/>
              <w:rPr>
                <w:rFonts w:hint="eastAsia" w:ascii="宋体" w:eastAsia="宋体"/>
                <w:sz w:val="21"/>
              </w:rPr>
            </w:pPr>
            <w:r>
              <w:rPr>
                <w:rFonts w:hint="eastAsia" w:ascii="宋体" w:eastAsia="宋体"/>
                <w:sz w:val="21"/>
              </w:rPr>
              <w:t>融资</w:t>
            </w:r>
          </w:p>
        </w:tc>
        <w:tc>
          <w:tcPr>
            <w:tcW w:w="2362" w:type="dxa"/>
            <w:tcBorders>
              <w:right w:val="nil"/>
            </w:tcBorders>
          </w:tcPr>
          <w:p w14:paraId="0AA0B10F">
            <w:pPr>
              <w:pStyle w:val="15"/>
              <w:jc w:val="left"/>
              <w:rPr>
                <w:sz w:val="20"/>
              </w:rPr>
            </w:pPr>
          </w:p>
        </w:tc>
      </w:tr>
      <w:tr w14:paraId="79DF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003" w:type="dxa"/>
            <w:tcBorders>
              <w:left w:val="nil"/>
            </w:tcBorders>
          </w:tcPr>
          <w:p w14:paraId="2464F42D">
            <w:pPr>
              <w:pStyle w:val="15"/>
              <w:spacing w:before="1" w:line="250" w:lineRule="exact"/>
              <w:ind w:left="206" w:right="178"/>
              <w:rPr>
                <w:rFonts w:hint="eastAsia" w:ascii="宋体" w:eastAsia="宋体"/>
                <w:sz w:val="21"/>
              </w:rPr>
            </w:pPr>
            <w:r>
              <w:rPr>
                <w:rFonts w:hint="eastAsia" w:ascii="宋体" w:eastAsia="宋体"/>
                <w:sz w:val="21"/>
              </w:rPr>
              <w:t xml:space="preserve">不符合表 </w:t>
            </w:r>
            <w:r>
              <w:rPr>
                <w:sz w:val="21"/>
              </w:rPr>
              <w:t xml:space="preserve">1 </w:t>
            </w:r>
            <w:r>
              <w:rPr>
                <w:rFonts w:hint="eastAsia" w:ascii="宋体" w:eastAsia="宋体"/>
                <w:sz w:val="21"/>
              </w:rPr>
              <w:t>条件的回购协议</w:t>
            </w:r>
          </w:p>
        </w:tc>
        <w:tc>
          <w:tcPr>
            <w:tcW w:w="1440" w:type="dxa"/>
          </w:tcPr>
          <w:p w14:paraId="6CCE61C8">
            <w:pPr>
              <w:pStyle w:val="15"/>
              <w:spacing w:before="1" w:line="250" w:lineRule="exact"/>
              <w:ind w:left="299"/>
              <w:jc w:val="left"/>
              <w:rPr>
                <w:rFonts w:hint="eastAsia" w:ascii="宋体" w:eastAsia="宋体"/>
                <w:sz w:val="21"/>
              </w:rPr>
            </w:pPr>
            <w:r>
              <w:rPr>
                <w:rFonts w:hint="eastAsia" w:ascii="宋体" w:eastAsia="宋体"/>
                <w:sz w:val="21"/>
              </w:rPr>
              <w:t>容易获得</w:t>
            </w:r>
          </w:p>
        </w:tc>
        <w:tc>
          <w:tcPr>
            <w:tcW w:w="2700" w:type="dxa"/>
          </w:tcPr>
          <w:p w14:paraId="3E88CD71">
            <w:pPr>
              <w:pStyle w:val="15"/>
              <w:spacing w:before="1" w:line="250" w:lineRule="exact"/>
              <w:ind w:left="50" w:right="38"/>
              <w:rPr>
                <w:rFonts w:hint="eastAsia" w:ascii="宋体" w:eastAsia="宋体"/>
                <w:sz w:val="21"/>
              </w:rPr>
            </w:pPr>
            <w:r>
              <w:rPr>
                <w:rFonts w:hint="eastAsia" w:ascii="宋体" w:eastAsia="宋体"/>
                <w:sz w:val="21"/>
              </w:rPr>
              <w:t>销售</w:t>
            </w:r>
          </w:p>
        </w:tc>
        <w:tc>
          <w:tcPr>
            <w:tcW w:w="2362" w:type="dxa"/>
            <w:tcBorders>
              <w:right w:val="nil"/>
            </w:tcBorders>
          </w:tcPr>
          <w:p w14:paraId="472085E1">
            <w:pPr>
              <w:pStyle w:val="15"/>
              <w:spacing w:before="1" w:line="250" w:lineRule="exact"/>
              <w:ind w:left="311" w:right="325"/>
              <w:rPr>
                <w:rFonts w:hint="eastAsia" w:ascii="宋体" w:eastAsia="宋体"/>
                <w:sz w:val="21"/>
              </w:rPr>
            </w:pPr>
            <w:r>
              <w:rPr>
                <w:rFonts w:hint="eastAsia" w:ascii="宋体" w:eastAsia="宋体"/>
                <w:sz w:val="21"/>
              </w:rPr>
              <w:t>回购协议是远期的</w:t>
            </w:r>
          </w:p>
        </w:tc>
      </w:tr>
      <w:tr w14:paraId="3880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003" w:type="dxa"/>
            <w:tcBorders>
              <w:left w:val="nil"/>
            </w:tcBorders>
          </w:tcPr>
          <w:p w14:paraId="679637E8">
            <w:pPr>
              <w:pStyle w:val="15"/>
              <w:spacing w:before="1" w:line="252" w:lineRule="exact"/>
              <w:ind w:left="206" w:right="178"/>
              <w:rPr>
                <w:rFonts w:hint="eastAsia" w:ascii="宋体" w:eastAsia="宋体"/>
                <w:sz w:val="21"/>
              </w:rPr>
            </w:pPr>
            <w:r>
              <w:rPr>
                <w:rFonts w:hint="eastAsia" w:ascii="宋体" w:eastAsia="宋体"/>
                <w:sz w:val="21"/>
              </w:rPr>
              <w:t xml:space="preserve">不符合表 </w:t>
            </w:r>
            <w:r>
              <w:rPr>
                <w:sz w:val="21"/>
              </w:rPr>
              <w:t xml:space="preserve">1 </w:t>
            </w:r>
            <w:r>
              <w:rPr>
                <w:rFonts w:hint="eastAsia" w:ascii="宋体" w:eastAsia="宋体"/>
                <w:sz w:val="21"/>
              </w:rPr>
              <w:t>条件的回购协议</w:t>
            </w:r>
          </w:p>
        </w:tc>
        <w:tc>
          <w:tcPr>
            <w:tcW w:w="1440" w:type="dxa"/>
          </w:tcPr>
          <w:p w14:paraId="78D62ABF">
            <w:pPr>
              <w:pStyle w:val="15"/>
              <w:spacing w:before="1" w:line="252" w:lineRule="exact"/>
              <w:ind w:left="194"/>
              <w:jc w:val="left"/>
              <w:rPr>
                <w:rFonts w:hint="eastAsia" w:ascii="宋体" w:eastAsia="宋体"/>
                <w:sz w:val="21"/>
              </w:rPr>
            </w:pPr>
            <w:r>
              <w:rPr>
                <w:rFonts w:hint="eastAsia" w:ascii="宋体" w:eastAsia="宋体"/>
                <w:sz w:val="21"/>
              </w:rPr>
              <w:t>不容易获得</w:t>
            </w:r>
          </w:p>
        </w:tc>
        <w:tc>
          <w:tcPr>
            <w:tcW w:w="2700" w:type="dxa"/>
          </w:tcPr>
          <w:p w14:paraId="2A861492">
            <w:pPr>
              <w:pStyle w:val="15"/>
              <w:spacing w:before="1" w:line="252" w:lineRule="exact"/>
              <w:ind w:left="50" w:right="38"/>
              <w:rPr>
                <w:rFonts w:hint="eastAsia" w:ascii="宋体" w:eastAsia="宋体"/>
                <w:sz w:val="21"/>
              </w:rPr>
            </w:pPr>
            <w:r>
              <w:rPr>
                <w:rFonts w:hint="eastAsia" w:ascii="宋体" w:eastAsia="宋体"/>
                <w:sz w:val="21"/>
              </w:rPr>
              <w:t>融资</w:t>
            </w:r>
          </w:p>
        </w:tc>
        <w:tc>
          <w:tcPr>
            <w:tcW w:w="2362" w:type="dxa"/>
            <w:tcBorders>
              <w:right w:val="nil"/>
            </w:tcBorders>
          </w:tcPr>
          <w:p w14:paraId="3A1E1B37">
            <w:pPr>
              <w:pStyle w:val="15"/>
              <w:jc w:val="left"/>
              <w:rPr>
                <w:sz w:val="20"/>
              </w:rPr>
            </w:pPr>
          </w:p>
        </w:tc>
      </w:tr>
    </w:tbl>
    <w:p w14:paraId="372C2AC0">
      <w:pPr>
        <w:pStyle w:val="8"/>
        <w:rPr>
          <w:b/>
          <w:sz w:val="20"/>
        </w:rPr>
      </w:pPr>
    </w:p>
    <w:p w14:paraId="383275DB">
      <w:pPr>
        <w:pStyle w:val="8"/>
        <w:spacing w:before="9"/>
        <w:rPr>
          <w:b/>
          <w:sz w:val="27"/>
        </w:rPr>
      </w:pPr>
      <w:r>
        <w:pict>
          <v:line id="_x0000_s1050" o:spid="_x0000_s1050" o:spt="20" style="position:absolute;left:0pt;margin-left:70.9pt;margin-top:19.95pt;height:0pt;width:144pt;mso-position-horizontal-relative:page;mso-wrap-distance-bottom:0pt;mso-wrap-distance-top:0pt;z-index:-251642880;mso-width-relative:page;mso-height-relative:page;" stroked="t" coordsize="21600,21600">
            <v:path arrowok="t"/>
            <v:fill focussize="0,0"/>
            <v:stroke weight="0.48007874015748pt" color="#000000"/>
            <v:imagedata o:title=""/>
            <o:lock v:ext="edit"/>
            <w10:wrap type="topAndBottom"/>
          </v:line>
        </w:pict>
      </w:r>
    </w:p>
    <w:p w14:paraId="0066A8D3">
      <w:pPr>
        <w:spacing w:before="62"/>
        <w:ind w:left="238" w:right="0" w:firstLine="0"/>
        <w:jc w:val="left"/>
        <w:rPr>
          <w:sz w:val="18"/>
        </w:rPr>
      </w:pPr>
      <w:r>
        <w:rPr>
          <w:position w:val="6"/>
          <w:sz w:val="9"/>
        </w:rPr>
        <w:t xml:space="preserve">① </w:t>
      </w:r>
      <w:r>
        <w:rPr>
          <w:sz w:val="18"/>
        </w:rPr>
        <w:t>本图系作者据有关文献中的图式综合后绘制而成，其具体出处略。</w:t>
      </w:r>
    </w:p>
    <w:p w14:paraId="7A53B54F">
      <w:pPr>
        <w:spacing w:before="4"/>
        <w:ind w:left="238" w:right="0" w:firstLine="0"/>
        <w:jc w:val="left"/>
        <w:rPr>
          <w:rFonts w:ascii="Times New Roman" w:hAnsi="Times New Roman" w:eastAsia="Times New Roman"/>
          <w:sz w:val="18"/>
        </w:rPr>
      </w:pPr>
      <w:r>
        <w:rPr>
          <w:position w:val="6"/>
          <w:sz w:val="9"/>
        </w:rPr>
        <w:t xml:space="preserve">② </w:t>
      </w:r>
      <w:r>
        <w:rPr>
          <w:sz w:val="18"/>
        </w:rPr>
        <w:t>张伟．资产证券化的理论与实践［</w:t>
      </w:r>
      <w:r>
        <w:rPr>
          <w:rFonts w:ascii="Times New Roman" w:hAnsi="Times New Roman" w:eastAsia="Times New Roman"/>
          <w:sz w:val="18"/>
        </w:rPr>
        <w:t>EB/OL</w:t>
      </w:r>
      <w:r>
        <w:rPr>
          <w:sz w:val="18"/>
        </w:rPr>
        <w:t>］</w:t>
      </w:r>
      <w:r>
        <w:rPr>
          <w:rFonts w:ascii="Times New Roman" w:hAnsi="Times New Roman" w:eastAsia="Times New Roman"/>
          <w:sz w:val="18"/>
        </w:rPr>
        <w:t>.</w:t>
      </w:r>
      <w:r>
        <w:rPr>
          <w:sz w:val="18"/>
        </w:rPr>
        <w:t>（</w:t>
      </w:r>
      <w:r>
        <w:rPr>
          <w:rFonts w:ascii="Times New Roman" w:hAnsi="Times New Roman" w:eastAsia="Times New Roman"/>
          <w:sz w:val="18"/>
        </w:rPr>
        <w:t>2007-01-18</w:t>
      </w:r>
      <w:r>
        <w:rPr>
          <w:sz w:val="18"/>
        </w:rPr>
        <w:t>）</w:t>
      </w:r>
      <w:r>
        <w:rPr>
          <w:rFonts w:ascii="Times New Roman" w:hAnsi="Times New Roman" w:eastAsia="Times New Roman"/>
          <w:sz w:val="18"/>
        </w:rPr>
        <w:t>[2007-01-03</w:t>
      </w:r>
      <w:r>
        <w:fldChar w:fldCharType="begin"/>
      </w:r>
      <w:r>
        <w:instrText xml:space="preserve"> HYPERLINK "http://www.e521.com/ztjj/index.htm" \h </w:instrText>
      </w:r>
      <w:r>
        <w:fldChar w:fldCharType="separate"/>
      </w:r>
      <w:r>
        <w:rPr>
          <w:rFonts w:ascii="Times New Roman" w:hAnsi="Times New Roman" w:eastAsia="Times New Roman"/>
          <w:sz w:val="18"/>
        </w:rPr>
        <w:t>].http://www.e521.com/ztjj/index.htm.</w:t>
      </w:r>
      <w:r>
        <w:rPr>
          <w:rFonts w:ascii="Times New Roman" w:hAnsi="Times New Roman" w:eastAsia="Times New Roman"/>
          <w:sz w:val="18"/>
        </w:rPr>
        <w:fldChar w:fldCharType="end"/>
      </w:r>
    </w:p>
    <w:p w14:paraId="431ECE1E">
      <w:pPr>
        <w:spacing w:after="0"/>
        <w:jc w:val="left"/>
        <w:rPr>
          <w:rFonts w:ascii="Times New Roman" w:hAnsi="Times New Roman" w:eastAsia="Times New Roman"/>
          <w:sz w:val="18"/>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14:paraId="639DA6B4">
      <w:pPr>
        <w:pStyle w:val="8"/>
        <w:spacing w:before="7"/>
        <w:rPr>
          <w:rFonts w:ascii="Times New Roman"/>
          <w:sz w:val="13"/>
        </w:rPr>
      </w:pPr>
    </w:p>
    <w:p w14:paraId="427FD204">
      <w:pPr>
        <w:spacing w:after="0"/>
        <w:rPr>
          <w:rFonts w:ascii="Times New Roman"/>
          <w:sz w:val="13"/>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14:paraId="25F9D93A">
      <w:pPr>
        <w:pStyle w:val="8"/>
        <w:rPr>
          <w:rFonts w:ascii="Times New Roman"/>
        </w:rPr>
      </w:pPr>
    </w:p>
    <w:p w14:paraId="2689A960">
      <w:pPr>
        <w:pStyle w:val="8"/>
        <w:spacing w:before="2"/>
        <w:rPr>
          <w:rFonts w:ascii="Times New Roman"/>
          <w:sz w:val="29"/>
        </w:rPr>
      </w:pPr>
    </w:p>
    <w:p w14:paraId="0E72F265">
      <w:pPr>
        <w:pStyle w:val="8"/>
        <w:ind w:left="718"/>
      </w:pPr>
      <w:r>
        <w:t xml:space="preserve">………… </w:t>
      </w:r>
    </w:p>
    <w:p w14:paraId="47183B01">
      <w:pPr>
        <w:pStyle w:val="4"/>
        <w:spacing w:before="54"/>
        <w:ind w:left="288"/>
        <w:jc w:val="left"/>
      </w:pPr>
      <w:bookmarkStart w:id="3" w:name="_TOC_250004"/>
      <w:r>
        <w:rPr>
          <w:b w:val="0"/>
        </w:rPr>
        <w:br w:type="column"/>
      </w:r>
      <w:bookmarkEnd w:id="3"/>
      <w:r>
        <w:t>二、资产证券化所涉及的会计问题分析</w:t>
      </w:r>
    </w:p>
    <w:p w14:paraId="4D1AB5E8">
      <w:pPr>
        <w:spacing w:after="0"/>
        <w:jc w:val="left"/>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2">
            <w:col w:w="1799" w:space="40"/>
            <w:col w:w="7991"/>
          </w:cols>
        </w:sectPr>
      </w:pPr>
    </w:p>
    <w:p w14:paraId="14A04B80">
      <w:pPr>
        <w:spacing w:before="81" w:line="304" w:lineRule="auto"/>
        <w:ind w:left="2358" w:right="1863" w:hanging="1640"/>
        <w:jc w:val="left"/>
        <w:rPr>
          <w:b/>
          <w:sz w:val="24"/>
        </w:rPr>
      </w:pPr>
      <w:r>
        <w:pict>
          <v:line id="_x0000_s1051" o:spid="_x0000_s1051" o:spt="20" style="position:absolute;left:0pt;margin-left:65.5pt;margin-top:41.45pt;height:27.2pt;width:95.5pt;mso-position-horizontal-relative:page;z-index:251678720;mso-width-relative:page;mso-height-relative:page;" stroked="t" coordsize="21600,21600">
            <v:path arrowok="t"/>
            <v:fill focussize="0,0"/>
            <v:stroke weight="0.48pt" color="#000000"/>
            <v:imagedata o:title=""/>
            <o:lock v:ext="edit"/>
          </v:line>
        </w:pict>
      </w:r>
      <w:r>
        <w:pict>
          <v:shape id="_x0000_s1052" o:spid="_x0000_s1052" o:spt="202" type="#_x0000_t202" style="position:absolute;left:0pt;margin-left:64.55pt;margin-top:41pt;height:84.75pt;width:480.1pt;mso-position-horizontal-relative:page;z-index:251679744;mso-width-relative:page;mso-height-relative:page;" filled="f" stroked="f" coordsize="21600,21600">
            <v:path/>
            <v:fill on="f" focussize="0,0"/>
            <v:stroke on="f" joinstyle="miter"/>
            <v:imagedata o:title=""/>
            <o:lock v:ext="edit"/>
            <v:textbox inset="0mm,0mm,0mm,0mm">
              <w:txbxContent>
                <w:tbl>
                  <w:tblPr>
                    <w:tblStyle w:val="11"/>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0"/>
                    <w:gridCol w:w="1914"/>
                    <w:gridCol w:w="1916"/>
                    <w:gridCol w:w="1914"/>
                    <w:gridCol w:w="1916"/>
                  </w:tblGrid>
                  <w:tr w14:paraId="7C1E3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930" w:type="dxa"/>
                        <w:tcBorders>
                          <w:left w:val="nil"/>
                        </w:tcBorders>
                      </w:tcPr>
                      <w:p w14:paraId="5A03C1BC">
                        <w:pPr>
                          <w:pStyle w:val="15"/>
                          <w:spacing w:before="1"/>
                          <w:ind w:left="983" w:right="-15"/>
                          <w:jc w:val="left"/>
                          <w:rPr>
                            <w:rFonts w:hint="eastAsia" w:ascii="宋体" w:eastAsia="宋体"/>
                            <w:sz w:val="21"/>
                          </w:rPr>
                        </w:pPr>
                        <w:r>
                          <w:rPr>
                            <w:rFonts w:hint="eastAsia" w:ascii="宋体" w:eastAsia="宋体"/>
                            <w:spacing w:val="-2"/>
                            <w:sz w:val="21"/>
                          </w:rPr>
                          <w:t>融资方式</w:t>
                        </w:r>
                        <w:r>
                          <w:rPr>
                            <w:rFonts w:hint="eastAsia" w:ascii="宋体" w:eastAsia="宋体"/>
                            <w:sz w:val="21"/>
                          </w:rPr>
                          <w:t xml:space="preserve"> </w:t>
                        </w:r>
                      </w:p>
                      <w:p w14:paraId="52C5667F">
                        <w:pPr>
                          <w:pStyle w:val="15"/>
                          <w:spacing w:before="4" w:line="250" w:lineRule="exact"/>
                          <w:ind w:left="127"/>
                          <w:jc w:val="left"/>
                          <w:rPr>
                            <w:rFonts w:hint="eastAsia" w:ascii="宋体" w:eastAsia="宋体"/>
                            <w:sz w:val="21"/>
                          </w:rPr>
                        </w:pPr>
                        <w:r>
                          <w:rPr>
                            <w:rFonts w:hint="eastAsia" w:ascii="宋体" w:eastAsia="宋体"/>
                            <w:sz w:val="21"/>
                          </w:rPr>
                          <w:t xml:space="preserve">财务指标 </w:t>
                        </w:r>
                      </w:p>
                    </w:tc>
                    <w:tc>
                      <w:tcPr>
                        <w:tcW w:w="1914" w:type="dxa"/>
                      </w:tcPr>
                      <w:p w14:paraId="3200F6C7">
                        <w:pPr>
                          <w:pStyle w:val="15"/>
                          <w:spacing w:before="138"/>
                          <w:ind w:left="563" w:right="456"/>
                          <w:rPr>
                            <w:rFonts w:hint="eastAsia" w:ascii="宋体" w:eastAsia="宋体"/>
                            <w:sz w:val="21"/>
                          </w:rPr>
                        </w:pPr>
                        <w:r>
                          <w:rPr>
                            <w:rFonts w:hint="eastAsia" w:ascii="宋体" w:eastAsia="宋体"/>
                            <w:sz w:val="21"/>
                          </w:rPr>
                          <w:t xml:space="preserve">未融资前 </w:t>
                        </w:r>
                      </w:p>
                    </w:tc>
                    <w:tc>
                      <w:tcPr>
                        <w:tcW w:w="1916" w:type="dxa"/>
                      </w:tcPr>
                      <w:p w14:paraId="137CE482">
                        <w:pPr>
                          <w:pStyle w:val="15"/>
                          <w:spacing w:before="138"/>
                          <w:ind w:left="566" w:right="459"/>
                          <w:rPr>
                            <w:rFonts w:hint="eastAsia" w:ascii="宋体" w:eastAsia="宋体"/>
                            <w:sz w:val="21"/>
                          </w:rPr>
                        </w:pPr>
                        <w:r>
                          <w:rPr>
                            <w:rFonts w:hint="eastAsia" w:ascii="宋体" w:eastAsia="宋体"/>
                            <w:sz w:val="21"/>
                          </w:rPr>
                          <w:t xml:space="preserve">借债方式 </w:t>
                        </w:r>
                      </w:p>
                    </w:tc>
                    <w:tc>
                      <w:tcPr>
                        <w:tcW w:w="1914" w:type="dxa"/>
                      </w:tcPr>
                      <w:p w14:paraId="6679164A">
                        <w:pPr>
                          <w:pStyle w:val="15"/>
                          <w:spacing w:before="138"/>
                          <w:ind w:left="561" w:right="458"/>
                          <w:rPr>
                            <w:rFonts w:hint="eastAsia" w:ascii="宋体" w:eastAsia="宋体"/>
                            <w:sz w:val="21"/>
                          </w:rPr>
                        </w:pPr>
                        <w:r>
                          <w:rPr>
                            <w:rFonts w:hint="eastAsia" w:ascii="宋体" w:eastAsia="宋体"/>
                            <w:sz w:val="21"/>
                          </w:rPr>
                          <w:t xml:space="preserve">发行股票 </w:t>
                        </w:r>
                      </w:p>
                    </w:tc>
                    <w:tc>
                      <w:tcPr>
                        <w:tcW w:w="1916" w:type="dxa"/>
                        <w:tcBorders>
                          <w:right w:val="nil"/>
                        </w:tcBorders>
                      </w:tcPr>
                      <w:p w14:paraId="12886D1D">
                        <w:pPr>
                          <w:pStyle w:val="15"/>
                          <w:spacing w:before="138"/>
                          <w:ind w:left="460" w:right="360"/>
                          <w:rPr>
                            <w:rFonts w:hint="eastAsia" w:ascii="宋体" w:eastAsia="宋体"/>
                            <w:sz w:val="21"/>
                          </w:rPr>
                        </w:pPr>
                        <w:r>
                          <w:rPr>
                            <w:rFonts w:hint="eastAsia" w:ascii="宋体" w:eastAsia="宋体"/>
                            <w:sz w:val="21"/>
                          </w:rPr>
                          <w:t xml:space="preserve">资产证券化 </w:t>
                        </w:r>
                      </w:p>
                    </w:tc>
                  </w:tr>
                  <w:tr w14:paraId="457FB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30" w:type="dxa"/>
                        <w:tcBorders>
                          <w:left w:val="nil"/>
                        </w:tcBorders>
                      </w:tcPr>
                      <w:p w14:paraId="52535B50">
                        <w:pPr>
                          <w:pStyle w:val="15"/>
                          <w:spacing w:before="3" w:line="250" w:lineRule="exact"/>
                          <w:ind w:left="345"/>
                          <w:jc w:val="left"/>
                          <w:rPr>
                            <w:rFonts w:hint="eastAsia" w:ascii="宋体" w:eastAsia="宋体"/>
                            <w:sz w:val="21"/>
                          </w:rPr>
                        </w:pPr>
                        <w:r>
                          <w:rPr>
                            <w:rFonts w:hint="eastAsia" w:ascii="宋体" w:eastAsia="宋体"/>
                            <w:sz w:val="21"/>
                          </w:rPr>
                          <w:t xml:space="preserve">资产（万元） </w:t>
                        </w:r>
                      </w:p>
                    </w:tc>
                    <w:tc>
                      <w:tcPr>
                        <w:tcW w:w="1914" w:type="dxa"/>
                      </w:tcPr>
                      <w:p w14:paraId="10EA588A">
                        <w:pPr>
                          <w:pStyle w:val="15"/>
                          <w:spacing w:before="17" w:line="236" w:lineRule="exact"/>
                          <w:ind w:left="464" w:right="458"/>
                          <w:rPr>
                            <w:sz w:val="21"/>
                          </w:rPr>
                        </w:pPr>
                        <w:r>
                          <w:rPr>
                            <w:sz w:val="21"/>
                          </w:rPr>
                          <w:t>100</w:t>
                        </w:r>
                      </w:p>
                    </w:tc>
                    <w:tc>
                      <w:tcPr>
                        <w:tcW w:w="1916" w:type="dxa"/>
                      </w:tcPr>
                      <w:p w14:paraId="484EA635">
                        <w:pPr>
                          <w:pStyle w:val="15"/>
                          <w:spacing w:before="17" w:line="236" w:lineRule="exact"/>
                          <w:ind w:left="465" w:right="459"/>
                          <w:rPr>
                            <w:sz w:val="21"/>
                          </w:rPr>
                        </w:pPr>
                        <w:r>
                          <w:rPr>
                            <w:sz w:val="21"/>
                          </w:rPr>
                          <w:t>120</w:t>
                        </w:r>
                      </w:p>
                    </w:tc>
                    <w:tc>
                      <w:tcPr>
                        <w:tcW w:w="1914" w:type="dxa"/>
                      </w:tcPr>
                      <w:p w14:paraId="6B5E450B">
                        <w:pPr>
                          <w:pStyle w:val="15"/>
                          <w:spacing w:before="17" w:line="236" w:lineRule="exact"/>
                          <w:ind w:left="461" w:right="458"/>
                          <w:rPr>
                            <w:sz w:val="21"/>
                          </w:rPr>
                        </w:pPr>
                        <w:r>
                          <w:rPr>
                            <w:sz w:val="21"/>
                          </w:rPr>
                          <w:t>120</w:t>
                        </w:r>
                      </w:p>
                    </w:tc>
                    <w:tc>
                      <w:tcPr>
                        <w:tcW w:w="1916" w:type="dxa"/>
                        <w:tcBorders>
                          <w:right w:val="nil"/>
                        </w:tcBorders>
                      </w:tcPr>
                      <w:p w14:paraId="34613D01">
                        <w:pPr>
                          <w:pStyle w:val="15"/>
                          <w:spacing w:before="17" w:line="236" w:lineRule="exact"/>
                          <w:ind w:left="360" w:right="360"/>
                          <w:rPr>
                            <w:sz w:val="21"/>
                          </w:rPr>
                        </w:pPr>
                        <w:r>
                          <w:rPr>
                            <w:sz w:val="21"/>
                          </w:rPr>
                          <w:t>100</w:t>
                        </w:r>
                      </w:p>
                    </w:tc>
                  </w:tr>
                  <w:tr w14:paraId="452B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30" w:type="dxa"/>
                        <w:tcBorders>
                          <w:left w:val="nil"/>
                        </w:tcBorders>
                      </w:tcPr>
                      <w:p w14:paraId="5C6DB55E">
                        <w:pPr>
                          <w:pStyle w:val="15"/>
                          <w:spacing w:before="1" w:line="252" w:lineRule="exact"/>
                          <w:ind w:left="345"/>
                          <w:jc w:val="left"/>
                          <w:rPr>
                            <w:rFonts w:hint="eastAsia" w:ascii="宋体" w:eastAsia="宋体"/>
                            <w:sz w:val="21"/>
                          </w:rPr>
                        </w:pPr>
                        <w:r>
                          <w:rPr>
                            <w:rFonts w:hint="eastAsia" w:ascii="宋体" w:eastAsia="宋体"/>
                            <w:sz w:val="21"/>
                          </w:rPr>
                          <w:t xml:space="preserve">负债（万元） </w:t>
                        </w:r>
                      </w:p>
                    </w:tc>
                    <w:tc>
                      <w:tcPr>
                        <w:tcW w:w="1914" w:type="dxa"/>
                      </w:tcPr>
                      <w:p w14:paraId="3B322B9C">
                        <w:pPr>
                          <w:pStyle w:val="15"/>
                          <w:spacing w:before="15" w:line="238" w:lineRule="exact"/>
                          <w:ind w:left="459" w:right="458"/>
                          <w:rPr>
                            <w:sz w:val="21"/>
                          </w:rPr>
                        </w:pPr>
                        <w:r>
                          <w:rPr>
                            <w:sz w:val="21"/>
                          </w:rPr>
                          <w:t>50</w:t>
                        </w:r>
                      </w:p>
                    </w:tc>
                    <w:tc>
                      <w:tcPr>
                        <w:tcW w:w="1916" w:type="dxa"/>
                      </w:tcPr>
                      <w:p w14:paraId="47CCF589">
                        <w:pPr>
                          <w:pStyle w:val="15"/>
                          <w:spacing w:before="15" w:line="238" w:lineRule="exact"/>
                          <w:ind w:left="460" w:right="459"/>
                          <w:rPr>
                            <w:sz w:val="21"/>
                          </w:rPr>
                        </w:pPr>
                        <w:r>
                          <w:rPr>
                            <w:sz w:val="21"/>
                          </w:rPr>
                          <w:t>70</w:t>
                        </w:r>
                      </w:p>
                    </w:tc>
                    <w:tc>
                      <w:tcPr>
                        <w:tcW w:w="1914" w:type="dxa"/>
                      </w:tcPr>
                      <w:p w14:paraId="518632A7">
                        <w:pPr>
                          <w:pStyle w:val="15"/>
                          <w:spacing w:before="15" w:line="238" w:lineRule="exact"/>
                          <w:ind w:left="457" w:right="458"/>
                          <w:rPr>
                            <w:sz w:val="21"/>
                          </w:rPr>
                        </w:pPr>
                        <w:r>
                          <w:rPr>
                            <w:sz w:val="21"/>
                          </w:rPr>
                          <w:t>50</w:t>
                        </w:r>
                      </w:p>
                    </w:tc>
                    <w:tc>
                      <w:tcPr>
                        <w:tcW w:w="1916" w:type="dxa"/>
                        <w:tcBorders>
                          <w:right w:val="nil"/>
                        </w:tcBorders>
                      </w:tcPr>
                      <w:p w14:paraId="4704EB15">
                        <w:pPr>
                          <w:pStyle w:val="15"/>
                          <w:spacing w:before="15" w:line="238" w:lineRule="exact"/>
                          <w:ind w:left="357" w:right="360"/>
                          <w:rPr>
                            <w:sz w:val="21"/>
                          </w:rPr>
                        </w:pPr>
                        <w:r>
                          <w:rPr>
                            <w:sz w:val="21"/>
                          </w:rPr>
                          <w:t>50</w:t>
                        </w:r>
                      </w:p>
                    </w:tc>
                  </w:tr>
                  <w:tr w14:paraId="2BBF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930" w:type="dxa"/>
                        <w:tcBorders>
                          <w:left w:val="nil"/>
                        </w:tcBorders>
                      </w:tcPr>
                      <w:p w14:paraId="75358606">
                        <w:pPr>
                          <w:pStyle w:val="15"/>
                          <w:spacing w:before="1" w:line="250" w:lineRule="exact"/>
                          <w:ind w:left="127" w:right="-15"/>
                          <w:jc w:val="left"/>
                          <w:rPr>
                            <w:rFonts w:hint="eastAsia" w:ascii="宋体" w:eastAsia="宋体"/>
                            <w:sz w:val="21"/>
                          </w:rPr>
                        </w:pPr>
                        <w:r>
                          <w:rPr>
                            <w:rFonts w:hint="eastAsia" w:ascii="宋体" w:eastAsia="宋体"/>
                            <w:spacing w:val="-19"/>
                            <w:sz w:val="21"/>
                          </w:rPr>
                          <w:t>所有者权益</w:t>
                        </w:r>
                        <w:r>
                          <w:rPr>
                            <w:rFonts w:hint="eastAsia" w:ascii="宋体" w:eastAsia="宋体"/>
                            <w:spacing w:val="-3"/>
                            <w:sz w:val="21"/>
                          </w:rPr>
                          <w:t>（</w:t>
                        </w:r>
                        <w:r>
                          <w:rPr>
                            <w:rFonts w:hint="eastAsia" w:ascii="宋体" w:eastAsia="宋体"/>
                            <w:sz w:val="21"/>
                          </w:rPr>
                          <w:t>万元</w:t>
                        </w:r>
                        <w:r>
                          <w:rPr>
                            <w:rFonts w:hint="eastAsia" w:ascii="宋体" w:eastAsia="宋体"/>
                            <w:spacing w:val="-111"/>
                            <w:sz w:val="21"/>
                          </w:rPr>
                          <w:t>）</w:t>
                        </w:r>
                        <w:r>
                          <w:rPr>
                            <w:rFonts w:hint="eastAsia" w:ascii="宋体" w:eastAsia="宋体"/>
                            <w:sz w:val="21"/>
                          </w:rPr>
                          <w:t xml:space="preserve"> </w:t>
                        </w:r>
                      </w:p>
                    </w:tc>
                    <w:tc>
                      <w:tcPr>
                        <w:tcW w:w="1914" w:type="dxa"/>
                      </w:tcPr>
                      <w:p w14:paraId="1A47CAF1">
                        <w:pPr>
                          <w:pStyle w:val="15"/>
                          <w:spacing w:before="15" w:line="236" w:lineRule="exact"/>
                          <w:ind w:left="459" w:right="458"/>
                          <w:rPr>
                            <w:sz w:val="21"/>
                          </w:rPr>
                        </w:pPr>
                        <w:r>
                          <w:rPr>
                            <w:sz w:val="21"/>
                          </w:rPr>
                          <w:t>50</w:t>
                        </w:r>
                      </w:p>
                    </w:tc>
                    <w:tc>
                      <w:tcPr>
                        <w:tcW w:w="1916" w:type="dxa"/>
                      </w:tcPr>
                      <w:p w14:paraId="455BE058">
                        <w:pPr>
                          <w:pStyle w:val="15"/>
                          <w:spacing w:before="15" w:line="236" w:lineRule="exact"/>
                          <w:ind w:left="460" w:right="459"/>
                          <w:rPr>
                            <w:sz w:val="21"/>
                          </w:rPr>
                        </w:pPr>
                        <w:r>
                          <w:rPr>
                            <w:sz w:val="21"/>
                          </w:rPr>
                          <w:t>50</w:t>
                        </w:r>
                      </w:p>
                    </w:tc>
                    <w:tc>
                      <w:tcPr>
                        <w:tcW w:w="1914" w:type="dxa"/>
                      </w:tcPr>
                      <w:p w14:paraId="714B92ED">
                        <w:pPr>
                          <w:pStyle w:val="15"/>
                          <w:spacing w:before="15" w:line="236" w:lineRule="exact"/>
                          <w:ind w:left="457" w:right="458"/>
                          <w:rPr>
                            <w:sz w:val="21"/>
                          </w:rPr>
                        </w:pPr>
                        <w:r>
                          <w:rPr>
                            <w:sz w:val="21"/>
                          </w:rPr>
                          <w:t>70</w:t>
                        </w:r>
                      </w:p>
                    </w:tc>
                    <w:tc>
                      <w:tcPr>
                        <w:tcW w:w="1916" w:type="dxa"/>
                        <w:tcBorders>
                          <w:right w:val="nil"/>
                        </w:tcBorders>
                      </w:tcPr>
                      <w:p w14:paraId="4EF77BDB">
                        <w:pPr>
                          <w:pStyle w:val="15"/>
                          <w:spacing w:before="15" w:line="236" w:lineRule="exact"/>
                          <w:ind w:left="357" w:right="360"/>
                          <w:rPr>
                            <w:sz w:val="21"/>
                          </w:rPr>
                        </w:pPr>
                        <w:r>
                          <w:rPr>
                            <w:sz w:val="21"/>
                          </w:rPr>
                          <w:t>50</w:t>
                        </w:r>
                      </w:p>
                    </w:tc>
                  </w:tr>
                  <w:tr w14:paraId="4B8E0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30" w:type="dxa"/>
                        <w:tcBorders>
                          <w:left w:val="nil"/>
                        </w:tcBorders>
                      </w:tcPr>
                      <w:p w14:paraId="03F8E12A">
                        <w:pPr>
                          <w:pStyle w:val="15"/>
                          <w:spacing w:before="1" w:line="252" w:lineRule="exact"/>
                          <w:ind w:left="187"/>
                          <w:jc w:val="left"/>
                          <w:rPr>
                            <w:rFonts w:hint="eastAsia" w:ascii="宋体" w:eastAsia="宋体"/>
                            <w:sz w:val="21"/>
                          </w:rPr>
                        </w:pPr>
                        <w:r>
                          <w:rPr>
                            <w:rFonts w:hint="eastAsia" w:ascii="宋体" w:eastAsia="宋体"/>
                            <w:sz w:val="21"/>
                          </w:rPr>
                          <w:t xml:space="preserve">资产负债率（%） </w:t>
                        </w:r>
                      </w:p>
                    </w:tc>
                    <w:tc>
                      <w:tcPr>
                        <w:tcW w:w="1914" w:type="dxa"/>
                      </w:tcPr>
                      <w:p w14:paraId="1A8B8D22">
                        <w:pPr>
                          <w:pStyle w:val="15"/>
                          <w:spacing w:before="17" w:line="236" w:lineRule="exact"/>
                          <w:ind w:left="464" w:right="458"/>
                          <w:rPr>
                            <w:sz w:val="21"/>
                          </w:rPr>
                        </w:pPr>
                        <w:r>
                          <w:rPr>
                            <w:sz w:val="21"/>
                          </w:rPr>
                          <w:t>50.00</w:t>
                        </w:r>
                      </w:p>
                    </w:tc>
                    <w:tc>
                      <w:tcPr>
                        <w:tcW w:w="1916" w:type="dxa"/>
                      </w:tcPr>
                      <w:p w14:paraId="1D39E88A">
                        <w:pPr>
                          <w:pStyle w:val="15"/>
                          <w:spacing w:before="17" w:line="236" w:lineRule="exact"/>
                          <w:ind w:left="465" w:right="459"/>
                          <w:rPr>
                            <w:sz w:val="21"/>
                          </w:rPr>
                        </w:pPr>
                        <w:r>
                          <w:rPr>
                            <w:sz w:val="21"/>
                          </w:rPr>
                          <w:t>58.30</w:t>
                        </w:r>
                      </w:p>
                    </w:tc>
                    <w:tc>
                      <w:tcPr>
                        <w:tcW w:w="1914" w:type="dxa"/>
                      </w:tcPr>
                      <w:p w14:paraId="378D1DD6">
                        <w:pPr>
                          <w:pStyle w:val="15"/>
                          <w:spacing w:before="17" w:line="236" w:lineRule="exact"/>
                          <w:ind w:left="461" w:right="458"/>
                          <w:rPr>
                            <w:sz w:val="21"/>
                          </w:rPr>
                        </w:pPr>
                        <w:r>
                          <w:rPr>
                            <w:sz w:val="21"/>
                          </w:rPr>
                          <w:t>40.70</w:t>
                        </w:r>
                      </w:p>
                    </w:tc>
                    <w:tc>
                      <w:tcPr>
                        <w:tcW w:w="1916" w:type="dxa"/>
                        <w:tcBorders>
                          <w:right w:val="nil"/>
                        </w:tcBorders>
                      </w:tcPr>
                      <w:p w14:paraId="149A1F10">
                        <w:pPr>
                          <w:pStyle w:val="15"/>
                          <w:spacing w:before="17" w:line="236" w:lineRule="exact"/>
                          <w:ind w:left="360" w:right="360"/>
                          <w:rPr>
                            <w:sz w:val="21"/>
                          </w:rPr>
                        </w:pPr>
                        <w:r>
                          <w:rPr>
                            <w:sz w:val="21"/>
                          </w:rPr>
                          <w:t>50.00</w:t>
                        </w:r>
                      </w:p>
                    </w:tc>
                  </w:tr>
                </w:tbl>
                <w:p w14:paraId="4BA64737">
                  <w:pPr>
                    <w:pStyle w:val="8"/>
                  </w:pPr>
                </w:p>
              </w:txbxContent>
            </v:textbox>
          </v:shape>
        </w:pict>
      </w:r>
      <w:r>
        <w:rPr>
          <w:spacing w:val="-5"/>
          <w:sz w:val="24"/>
        </w:rPr>
        <w:t xml:space="preserve">……不同融资方式对 </w:t>
      </w:r>
      <w:r>
        <w:rPr>
          <w:sz w:val="24"/>
        </w:rPr>
        <w:t>A</w:t>
      </w:r>
      <w:r>
        <w:rPr>
          <w:spacing w:val="-10"/>
          <w:sz w:val="24"/>
        </w:rPr>
        <w:t xml:space="preserve"> 公司资产负债表所产生的影响如表 </w:t>
      </w:r>
      <w:r>
        <w:rPr>
          <w:rFonts w:ascii="Times New Roman" w:hAnsi="Times New Roman" w:eastAsia="Times New Roman"/>
          <w:sz w:val="24"/>
        </w:rPr>
        <w:t xml:space="preserve">4 </w:t>
      </w:r>
      <w:r>
        <w:rPr>
          <w:sz w:val="24"/>
        </w:rPr>
        <w:t>所示。</w:t>
      </w:r>
      <w:r>
        <w:rPr>
          <w:b/>
          <w:spacing w:val="-30"/>
          <w:sz w:val="24"/>
        </w:rPr>
        <w:t xml:space="preserve">表 </w:t>
      </w:r>
      <w:r>
        <w:rPr>
          <w:b/>
          <w:sz w:val="24"/>
        </w:rPr>
        <w:t>4 不同融资方式对资产负债结构改变情况对照表</w:t>
      </w:r>
      <w:r>
        <w:rPr>
          <w:b/>
          <w:w w:val="99"/>
          <w:sz w:val="24"/>
        </w:rPr>
        <w:t xml:space="preserve"> </w:t>
      </w:r>
    </w:p>
    <w:p w14:paraId="0B321CE7">
      <w:pPr>
        <w:pStyle w:val="8"/>
        <w:rPr>
          <w:b/>
        </w:rPr>
      </w:pPr>
    </w:p>
    <w:p w14:paraId="13F20AF3">
      <w:pPr>
        <w:pStyle w:val="8"/>
        <w:rPr>
          <w:b/>
        </w:rPr>
      </w:pPr>
    </w:p>
    <w:p w14:paraId="261CDDEE">
      <w:pPr>
        <w:pStyle w:val="8"/>
        <w:rPr>
          <w:b/>
        </w:rPr>
      </w:pPr>
    </w:p>
    <w:p w14:paraId="1186FF31">
      <w:pPr>
        <w:pStyle w:val="8"/>
        <w:rPr>
          <w:b/>
        </w:rPr>
      </w:pPr>
    </w:p>
    <w:p w14:paraId="0DC2F7E0">
      <w:pPr>
        <w:pStyle w:val="8"/>
        <w:rPr>
          <w:b/>
        </w:rPr>
      </w:pPr>
    </w:p>
    <w:p w14:paraId="60440904">
      <w:pPr>
        <w:pStyle w:val="8"/>
        <w:spacing w:before="157"/>
        <w:ind w:left="718"/>
      </w:pPr>
      <w:r>
        <w:t xml:space="preserve">从表 </w:t>
      </w:r>
      <w:r>
        <w:rPr>
          <w:rFonts w:ascii="Times New Roman" w:hAnsi="Times New Roman" w:eastAsia="Times New Roman"/>
        </w:rPr>
        <w:t xml:space="preserve">4 </w:t>
      </w:r>
      <w:r>
        <w:t xml:space="preserve">可见，采取资产证券化的方式…… </w:t>
      </w:r>
    </w:p>
    <w:p w14:paraId="5EC4823F">
      <w:pPr>
        <w:pStyle w:val="8"/>
        <w:spacing w:before="84"/>
        <w:ind w:left="718"/>
      </w:pPr>
      <w:r>
        <w:t xml:space="preserve">………… </w:t>
      </w:r>
    </w:p>
    <w:p w14:paraId="5F53815B">
      <w:pPr>
        <w:pStyle w:val="8"/>
        <w:spacing w:before="74" w:line="292" w:lineRule="auto"/>
        <w:ind w:left="238" w:right="231" w:firstLine="480"/>
      </w:pPr>
      <w:r>
        <w:pict>
          <v:group id="_x0000_s1053" o:spid="_x0000_s1053" o:spt="203" style="position:absolute;left:0pt;margin-left:148.25pt;margin-top:47.15pt;height:155.35pt;width:332.9pt;mso-position-horizontal-relative:page;mso-wrap-distance-bottom:0pt;mso-wrap-distance-top:0pt;z-index:-251639808;mso-width-relative:page;mso-height-relative:page;" coordorigin="2965,943" coordsize="6658,3107">
            <o:lock v:ext="edit"/>
            <v:rect id="_x0000_s1054" o:spid="_x0000_s1054" o:spt="1" style="position:absolute;left:2966;top:944;height:3104;width:6655;" fillcolor="#CCCCFF" filled="t" stroked="f" coordsize="21600,21600">
              <v:path/>
              <v:fill on="t" focussize="0,0"/>
              <v:stroke on="f"/>
              <v:imagedata o:title=""/>
              <o:lock v:ext="edit"/>
            </v:rect>
            <v:shape id="_x0000_s1055" o:spid="_x0000_s1055" style="position:absolute;left:4099;top:3416;height:96;width:4947;" fillcolor="#808080" filled="t" stroked="f" coordorigin="4100,3417" coordsize="4947,96" path="m9046,3417l4226,3417,4100,3512,8920,3512,9046,3417xe">
              <v:path arrowok="t"/>
              <v:fill on="t" focussize="0,0"/>
              <v:stroke on="f"/>
              <v:imagedata o:title=""/>
              <o:lock v:ext="edit"/>
            </v:shape>
            <v:shape id="_x0000_s1056" o:spid="_x0000_s1056" style="position:absolute;left:4099;top:1585;height:1928;width:126;" fillcolor="#C0C0C0" filled="t" stroked="f" coordorigin="4100,1585" coordsize="126,1928" path="m4226,1585l4100,1681,4100,3512,4226,3417,4226,1585xe">
              <v:path arrowok="t"/>
              <v:fill on="t" focussize="0,0"/>
              <v:stroke on="f"/>
              <v:imagedata o:title=""/>
              <o:lock v:ext="edit"/>
            </v:shape>
            <v:rect id="_x0000_s1057" o:spid="_x0000_s1057" o:spt="1" style="position:absolute;left:4225;top:1585;height:1832;width:4821;" fillcolor="#C0C0C0" filled="t" stroked="f" coordsize="21600,21600">
              <v:path/>
              <v:fill on="t" focussize="0,0"/>
              <v:stroke on="f"/>
              <v:imagedata o:title=""/>
              <o:lock v:ext="edit"/>
            </v:rect>
            <v:line id="_x0000_s1058" o:spid="_x0000_s1058" o:spt="20" style="position:absolute;left:4109;top:3426;flip:y;height:95;width:124;" stroked="t" coordsize="21600,21600">
              <v:path arrowok="t"/>
              <v:fill focussize="0,0"/>
              <v:stroke weight="0.139606299212598pt" color="#000000"/>
              <v:imagedata o:title=""/>
              <o:lock v:ext="edit"/>
            </v:line>
            <v:line id="_x0000_s1059" o:spid="_x0000_s1059" o:spt="20" style="position:absolute;left:8847;top:3425;height:0;width:207;" stroked="t" coordsize="21600,21600">
              <v:path arrowok="t"/>
              <v:fill focussize="0,0"/>
              <v:stroke weight="0.139527559055118pt" color="#000000"/>
              <v:imagedata o:title=""/>
              <o:lock v:ext="edit"/>
            </v:line>
            <v:line id="_x0000_s1060" o:spid="_x0000_s1060" o:spt="20" style="position:absolute;left:8475;top:3425;height:0;width:223;" stroked="t" coordsize="21600,21600">
              <v:path arrowok="t"/>
              <v:fill focussize="0,0"/>
              <v:stroke weight="0.139527559055118pt" color="#000000"/>
              <v:imagedata o:title=""/>
              <o:lock v:ext="edit"/>
            </v:line>
            <v:line id="_x0000_s1061" o:spid="_x0000_s1061" o:spt="20" style="position:absolute;left:8105;top:3425;height:0;width:223;" stroked="t" coordsize="21600,21600">
              <v:path arrowok="t"/>
              <v:fill focussize="0,0"/>
              <v:stroke weight="0.139527559055118pt" color="#000000"/>
              <v:imagedata o:title=""/>
              <o:lock v:ext="edit"/>
            </v:line>
            <v:line id="_x0000_s1062" o:spid="_x0000_s1062" o:spt="20" style="position:absolute;left:7734;top:3425;height:0;width:222;" stroked="t" coordsize="21600,21600">
              <v:path arrowok="t"/>
              <v:fill focussize="0,0"/>
              <v:stroke weight="0.139527559055118pt" color="#000000"/>
              <v:imagedata o:title=""/>
              <o:lock v:ext="edit"/>
            </v:line>
            <v:line id="_x0000_s1063" o:spid="_x0000_s1063" o:spt="20" style="position:absolute;left:7363;top:3425;height:0;width:223;" stroked="t" coordsize="21600,21600">
              <v:path arrowok="t"/>
              <v:fill focussize="0,0"/>
              <v:stroke weight="0.139527559055118pt" color="#000000"/>
              <v:imagedata o:title=""/>
              <o:lock v:ext="edit"/>
            </v:line>
            <v:line id="_x0000_s1064" o:spid="_x0000_s1064" o:spt="20" style="position:absolute;left:6992;top:3425;height:0;width:223;" stroked="t" coordsize="21600,21600">
              <v:path arrowok="t"/>
              <v:fill focussize="0,0"/>
              <v:stroke weight="0.139527559055118pt" color="#000000"/>
              <v:imagedata o:title=""/>
              <o:lock v:ext="edit"/>
            </v:line>
            <v:line id="_x0000_s1065" o:spid="_x0000_s1065" o:spt="20" style="position:absolute;left:6622;top:3425;height:0;width:221;" stroked="t" coordsize="21600,21600">
              <v:path arrowok="t"/>
              <v:fill focussize="0,0"/>
              <v:stroke weight="0.139527559055118pt" color="#000000"/>
              <v:imagedata o:title=""/>
              <o:lock v:ext="edit"/>
            </v:line>
            <v:line id="_x0000_s1066" o:spid="_x0000_s1066" o:spt="20" style="position:absolute;left:6251;top:3425;height:0;width:222;" stroked="t" coordsize="21600,21600">
              <v:path arrowok="t"/>
              <v:fill focussize="0,0"/>
              <v:stroke weight="0.139527559055118pt" color="#000000"/>
              <v:imagedata o:title=""/>
              <o:lock v:ext="edit"/>
            </v:line>
            <v:line id="_x0000_s1067" o:spid="_x0000_s1067" o:spt="20" style="position:absolute;left:5880;top:3425;height:0;width:223;" stroked="t" coordsize="21600,21600">
              <v:path arrowok="t"/>
              <v:fill focussize="0,0"/>
              <v:stroke weight="0.139527559055118pt" color="#000000"/>
              <v:imagedata o:title=""/>
              <o:lock v:ext="edit"/>
            </v:line>
            <v:line id="_x0000_s1068" o:spid="_x0000_s1068" o:spt="20" style="position:absolute;left:4234;top:3425;height:0;width:1497;" stroked="t" coordsize="21600,21600">
              <v:path arrowok="t"/>
              <v:fill focussize="0,0"/>
              <v:stroke weight="0.139527559055118pt" color="#000000"/>
              <v:imagedata o:title=""/>
              <o:lock v:ext="edit"/>
            </v:line>
            <v:line id="_x0000_s1069" o:spid="_x0000_s1069" o:spt="20" style="position:absolute;left:4109;top:2969;flip:y;height:94;width:124;" stroked="t" coordsize="21600,21600">
              <v:path arrowok="t"/>
              <v:fill focussize="0,0"/>
              <v:stroke weight="0.139606299212598pt" color="#000000"/>
              <v:imagedata o:title=""/>
              <o:lock v:ext="edit"/>
            </v:line>
            <v:line id="_x0000_s1070" o:spid="_x0000_s1070" o:spt="20" style="position:absolute;left:8847;top:2968;height:0;width:207;" stroked="t" coordsize="21600,21600">
              <v:path arrowok="t"/>
              <v:fill focussize="0,0"/>
              <v:stroke weight="0.139527559055118pt" color="#000000"/>
              <v:imagedata o:title=""/>
              <o:lock v:ext="edit"/>
            </v:line>
            <v:line id="_x0000_s1071" o:spid="_x0000_s1071" o:spt="20" style="position:absolute;left:8475;top:2968;height:0;width:223;" stroked="t" coordsize="21600,21600">
              <v:path arrowok="t"/>
              <v:fill focussize="0,0"/>
              <v:stroke weight="0.139527559055118pt" color="#000000"/>
              <v:imagedata o:title=""/>
              <o:lock v:ext="edit"/>
            </v:line>
            <v:line id="_x0000_s1072" o:spid="_x0000_s1072" o:spt="20" style="position:absolute;left:8105;top:2968;height:0;width:223;" stroked="t" coordsize="21600,21600">
              <v:path arrowok="t"/>
              <v:fill focussize="0,0"/>
              <v:stroke weight="0.139527559055118pt" color="#000000"/>
              <v:imagedata o:title=""/>
              <o:lock v:ext="edit"/>
            </v:line>
            <v:line id="_x0000_s1073" o:spid="_x0000_s1073" o:spt="20" style="position:absolute;left:7734;top:2968;height:0;width:222;" stroked="t" coordsize="21600,21600">
              <v:path arrowok="t"/>
              <v:fill focussize="0,0"/>
              <v:stroke weight="0.139527559055118pt" color="#000000"/>
              <v:imagedata o:title=""/>
              <o:lock v:ext="edit"/>
            </v:line>
            <v:line id="_x0000_s1074" o:spid="_x0000_s1074" o:spt="20" style="position:absolute;left:7363;top:2968;height:0;width:223;" stroked="t" coordsize="21600,21600">
              <v:path arrowok="t"/>
              <v:fill focussize="0,0"/>
              <v:stroke weight="0.139527559055118pt" color="#000000"/>
              <v:imagedata o:title=""/>
              <o:lock v:ext="edit"/>
            </v:line>
            <v:line id="_x0000_s1075" o:spid="_x0000_s1075" o:spt="20" style="position:absolute;left:6992;top:2968;height:0;width:223;" stroked="t" coordsize="21600,21600">
              <v:path arrowok="t"/>
              <v:fill focussize="0,0"/>
              <v:stroke weight="0.139527559055118pt" color="#000000"/>
              <v:imagedata o:title=""/>
              <o:lock v:ext="edit"/>
            </v:line>
            <v:line id="_x0000_s1076" o:spid="_x0000_s1076" o:spt="20" style="position:absolute;left:4234;top:2968;height:0;width:2609;" stroked="t" coordsize="21600,21600">
              <v:path arrowok="t"/>
              <v:fill focussize="0,0"/>
              <v:stroke weight="0.139527559055118pt" color="#000000"/>
              <v:imagedata o:title=""/>
              <o:lock v:ext="edit"/>
            </v:line>
            <v:line id="_x0000_s1077" o:spid="_x0000_s1077" o:spt="20" style="position:absolute;left:4109;top:2511;flip:y;height:94;width:124;" stroked="t" coordsize="21600,21600">
              <v:path arrowok="t"/>
              <v:fill focussize="0,0"/>
              <v:stroke weight="0.139606299212598pt" color="#000000"/>
              <v:imagedata o:title=""/>
              <o:lock v:ext="edit"/>
            </v:line>
            <v:line id="_x0000_s1078" o:spid="_x0000_s1078" o:spt="20" style="position:absolute;left:8847;top:2510;height:0;width:207;" stroked="t" coordsize="21600,21600">
              <v:path arrowok="t"/>
              <v:fill focussize="0,0"/>
              <v:stroke weight="0.139527559055118pt" color="#000000"/>
              <v:imagedata o:title=""/>
              <o:lock v:ext="edit"/>
            </v:line>
            <v:line id="_x0000_s1079" o:spid="_x0000_s1079" o:spt="20" style="position:absolute;left:8475;top:2510;height:0;width:223;" stroked="t" coordsize="21600,21600">
              <v:path arrowok="t"/>
              <v:fill focussize="0,0"/>
              <v:stroke weight="0.139527559055118pt" color="#000000"/>
              <v:imagedata o:title=""/>
              <o:lock v:ext="edit"/>
            </v:line>
            <v:line id="_x0000_s1080" o:spid="_x0000_s1080" o:spt="20" style="position:absolute;left:8105;top:2510;height:0;width:223;" stroked="t" coordsize="21600,21600">
              <v:path arrowok="t"/>
              <v:fill focussize="0,0"/>
              <v:stroke weight="0.139527559055118pt" color="#000000"/>
              <v:imagedata o:title=""/>
              <o:lock v:ext="edit"/>
            </v:line>
            <v:line id="_x0000_s1081" o:spid="_x0000_s1081" o:spt="20" style="position:absolute;left:7734;top:2510;height:0;width:222;" stroked="t" coordsize="21600,21600">
              <v:path arrowok="t"/>
              <v:fill focussize="0,0"/>
              <v:stroke weight="0.139527559055118pt" color="#000000"/>
              <v:imagedata o:title=""/>
              <o:lock v:ext="edit"/>
            </v:line>
            <v:line id="_x0000_s1082" o:spid="_x0000_s1082" o:spt="20" style="position:absolute;left:4234;top:2510;height:0;width:3352;" stroked="t" coordsize="21600,21600">
              <v:path arrowok="t"/>
              <v:fill focussize="0,0"/>
              <v:stroke weight="0.139527559055118pt" color="#000000"/>
              <v:imagedata o:title=""/>
              <o:lock v:ext="edit"/>
            </v:line>
            <v:line id="_x0000_s1083" o:spid="_x0000_s1083" o:spt="20" style="position:absolute;left:4109;top:2053;flip:y;height:95;width:124;" stroked="t" coordsize="21600,21600">
              <v:path arrowok="t"/>
              <v:fill focussize="0,0"/>
              <v:stroke weight="0.139606299212598pt" color="#000000"/>
              <v:imagedata o:title=""/>
              <o:lock v:ext="edit"/>
            </v:line>
            <v:line id="_x0000_s1084" o:spid="_x0000_s1084" o:spt="20" style="position:absolute;left:8847;top:2052;height:0;width:207;" stroked="t" coordsize="21600,21600">
              <v:path arrowok="t"/>
              <v:fill focussize="0,0"/>
              <v:stroke weight="0.139527559055118pt" color="#000000"/>
              <v:imagedata o:title=""/>
              <o:lock v:ext="edit"/>
            </v:line>
            <v:line id="_x0000_s1085" o:spid="_x0000_s1085" o:spt="20" style="position:absolute;left:4234;top:2052;height:0;width:4464;" stroked="t" coordsize="21600,21600">
              <v:path arrowok="t"/>
              <v:fill focussize="0,0"/>
              <v:stroke weight="0.139527559055118pt" color="#000000"/>
              <v:imagedata o:title=""/>
              <o:lock v:ext="edit"/>
            </v:line>
            <v:line id="_x0000_s1086" o:spid="_x0000_s1086" o:spt="20" style="position:absolute;left:4109;top:1596;flip:y;height:94;width:124;" stroked="t" coordsize="21600,21600">
              <v:path arrowok="t"/>
              <v:fill focussize="0,0"/>
              <v:stroke weight="0.139606299212598pt" color="#000000"/>
              <v:imagedata o:title=""/>
              <o:lock v:ext="edit"/>
            </v:line>
            <v:line id="_x0000_s1087" o:spid="_x0000_s1087" o:spt="20" style="position:absolute;left:4234;top:1594;height:0;width:4820;" stroked="t" coordsize="21600,21600">
              <v:path arrowok="t"/>
              <v:fill focussize="0,0"/>
              <v:stroke weight="0.139448818897638pt" color="#000000"/>
              <v:imagedata o:title=""/>
              <o:lock v:ext="edit"/>
            </v:line>
            <v:shape id="_x0000_s1088" o:spid="_x0000_s1088" style="position:absolute;left:4108;top:3425;height:96;width:4947;" filled="f" stroked="t" coordorigin="4109,3425" coordsize="4947,96" path="m9055,3425l8929,3521,4109,3521,4234,3425,9055,3425xe">
              <v:path arrowok="t"/>
              <v:fill on="f" focussize="0,0"/>
              <v:stroke weight="0.139448818897638pt" color="#000000"/>
              <v:imagedata o:title=""/>
              <o:lock v:ext="edit"/>
            </v:shape>
            <v:shape id="_x0000_s1089" o:spid="_x0000_s1089" style="position:absolute;left:4099;top:1585;height:1928;width:126;" filled="f" stroked="t" coordorigin="4100,1585" coordsize="126,1928" path="m4100,3512l4100,1681,4226,1585,4226,3417,4100,3512e">
              <v:path arrowok="t"/>
              <v:fill on="f" focussize="0,0"/>
              <v:stroke weight="0.95488188976378pt" color="#808080"/>
              <v:imagedata o:title=""/>
              <o:lock v:ext="edit"/>
            </v:shape>
            <v:rect id="_x0000_s1090" o:spid="_x0000_s1090" o:spt="1" style="position:absolute;left:4225;top:1585;height:1832;width:4821;" filled="f" stroked="t" coordsize="21600,21600">
              <v:path/>
              <v:fill on="f" focussize="0,0"/>
              <v:stroke weight="0.953149606299213pt" color="#808080"/>
              <v:imagedata o:title=""/>
              <o:lock v:ext="edit"/>
            </v:rect>
            <v:shape id="_x0000_s1091" o:spid="_x0000_s1091" style="position:absolute;left:4396;top:3439;height:45;width:51;" fillcolor="#4D4D80" filled="t" stroked="f" coordorigin="4397,3439" coordsize="51,45" path="m4447,3439l4397,3478,4397,3484,4447,3445,4447,3439xe">
              <v:path arrowok="t"/>
              <v:fill on="t" focussize="0,0"/>
              <v:stroke on="f"/>
              <v:imagedata o:title=""/>
              <o:lock v:ext="edit"/>
            </v:shape>
            <v:shape id="_x0000_s1092" o:spid="_x0000_s1092" style="position:absolute;left:4396;top:3439;height:45;width:51;" filled="f" stroked="t" coordorigin="4397,3439" coordsize="51,45" path="m4397,3484l4397,3478,4447,3439,4447,3445,4397,3484xe">
              <v:path arrowok="t"/>
              <v:fill on="f" focussize="0,0"/>
              <v:stroke weight="0.953779527559055pt" color="#000000"/>
              <v:imagedata o:title=""/>
              <o:lock v:ext="edit"/>
            </v:shape>
            <v:line id="_x0000_s1093" o:spid="_x0000_s1093" o:spt="20" style="position:absolute;left:4248;top:3481;height:0;width:149;" stroked="t" coordsize="21600,21600">
              <v:path arrowok="t"/>
              <v:fill focussize="0,0"/>
              <v:stroke weight="0.292834645669291pt" color="#9999FF"/>
              <v:imagedata o:title=""/>
              <o:lock v:ext="edit"/>
            </v:line>
            <v:rect id="_x0000_s1094" o:spid="_x0000_s1094" o:spt="1" style="position:absolute;left:4238;top:3468;height:25;width:168;" fillcolor="#000000" filled="t" stroked="f" coordsize="21600,21600">
              <v:path/>
              <v:fill on="t" focussize="0,0"/>
              <v:stroke on="f"/>
              <v:imagedata o:title=""/>
              <o:lock v:ext="edit"/>
            </v:rect>
            <v:shape id="_x0000_s1095" o:spid="_x0000_s1095" style="position:absolute;left:4396;top:3434;height:44;width:51;" fillcolor="#4D1A33" filled="t" stroked="f" coordorigin="4397,3434" coordsize="51,44" path="m4447,3434l4397,3473,4397,3478,4447,3439,4447,3434xe">
              <v:path arrowok="t"/>
              <v:fill on="t" focussize="0,0"/>
              <v:stroke on="f"/>
              <v:imagedata o:title=""/>
              <o:lock v:ext="edit"/>
            </v:shape>
            <v:shape id="_x0000_s1096" o:spid="_x0000_s1096" style="position:absolute;left:4396;top:3434;height:44;width:51;" filled="f" stroked="t" coordorigin="4397,3434" coordsize="51,44" path="m4397,3478l4397,3473,4447,3434,4447,3439,4397,3478xe">
              <v:path arrowok="t"/>
              <v:fill on="f" focussize="0,0"/>
              <v:stroke weight="0.953779527559055pt" color="#000000"/>
              <v:imagedata o:title=""/>
              <o:lock v:ext="edit"/>
            </v:shape>
            <v:line id="_x0000_s1097" o:spid="_x0000_s1097" o:spt="20" style="position:absolute;left:4248;top:3475;height:0;width:149;" stroked="t" coordsize="21600,21600">
              <v:path arrowok="t"/>
              <v:fill focussize="0,0"/>
              <v:stroke weight="0.244015748031496pt" color="#993366"/>
              <v:imagedata o:title=""/>
              <o:lock v:ext="edit"/>
            </v:line>
            <v:rect id="_x0000_s1098" o:spid="_x0000_s1098" o:spt="1" style="position:absolute;left:4238;top:3463;height:24;width:168;" fillcolor="#000000" filled="t" stroked="f" coordsize="21600,21600">
              <v:path/>
              <v:fill on="t" focussize="0,0"/>
              <v:stroke on="f"/>
              <v:imagedata o:title=""/>
              <o:lock v:ext="edit"/>
            </v:rect>
            <v:shape id="_x0000_s1099" o:spid="_x0000_s1099" style="position:absolute;left:4396;top:3432;height:41;width:51;" fillcolor="#804040" filled="t" stroked="f" coordorigin="4397,3432" coordsize="51,41" path="m4447,3432l4397,3470,4397,3473,4447,3434,4447,3432xe">
              <v:path arrowok="t"/>
              <v:fill on="t" focussize="0,0"/>
              <v:stroke on="f"/>
              <v:imagedata o:title=""/>
              <o:lock v:ext="edit"/>
            </v:shape>
            <v:shape id="_x0000_s1100" o:spid="_x0000_s1100" style="position:absolute;left:4396;top:3432;height:41;width:51;" filled="f" stroked="t" coordorigin="4397,3432" coordsize="51,41" path="m4397,3473l4397,3470,4447,3432,4447,3434,4397,3473xe">
              <v:path arrowok="t"/>
              <v:fill on="f" focussize="0,0"/>
              <v:stroke weight="0.953700787401575pt" color="#000000"/>
              <v:imagedata o:title=""/>
              <o:lock v:ext="edit"/>
            </v:shape>
            <v:line id="_x0000_s1101" o:spid="_x0000_s1101" o:spt="20" style="position:absolute;left:4248;top:3472;height:0;width:149;" stroked="t" coordsize="21600,21600">
              <v:path arrowok="t"/>
              <v:fill focussize="0,0"/>
              <v:stroke weight="0.122047244094488pt" color="#FF8080"/>
              <v:imagedata o:title=""/>
              <o:lock v:ext="edit"/>
            </v:line>
            <v:rect id="_x0000_s1102" o:spid="_x0000_s1102" o:spt="1" style="position:absolute;left:4238;top:3460;height:22;width:168;" fillcolor="#000000" filled="t" stroked="f" coordsize="21600,21600">
              <v:path/>
              <v:fill on="t" focussize="0,0"/>
              <v:stroke on="f"/>
              <v:imagedata o:title=""/>
              <o:lock v:ext="edit"/>
            </v:rect>
            <v:shape id="_x0000_s1103" o:spid="_x0000_s1103" style="position:absolute;left:4396;top:3429;height:41;width:51;" fillcolor="#003366" filled="t" stroked="f" coordorigin="4397,3430" coordsize="51,41" path="m4447,3430l4397,3468,4397,3470,4447,3432,4447,3430xe">
              <v:path arrowok="t"/>
              <v:fill on="t" focussize="0,0"/>
              <v:stroke on="f"/>
              <v:imagedata o:title=""/>
              <o:lock v:ext="edit"/>
            </v:shape>
            <v:shape id="_x0000_s1104" o:spid="_x0000_s1104" style="position:absolute;left:4396;top:3429;height:41;width:51;" filled="f" stroked="t" coordorigin="4397,3430" coordsize="51,41" path="m4397,3470l4397,3468,4447,3430,4447,3432,4397,3470xe">
              <v:path arrowok="t"/>
              <v:fill on="f" focussize="0,0"/>
              <v:stroke weight="0.953700787401575pt" color="#000000"/>
              <v:imagedata o:title=""/>
              <o:lock v:ext="edit"/>
            </v:shape>
            <v:line id="_x0000_s1105" o:spid="_x0000_s1105" o:spt="20" style="position:absolute;left:4248;top:3469;height:0;width:149;" stroked="t" coordsize="21600,21600">
              <v:path arrowok="t"/>
              <v:fill focussize="0,0"/>
              <v:stroke weight="0.122047244094488pt" color="#0066CC"/>
              <v:imagedata o:title=""/>
              <o:lock v:ext="edit"/>
            </v:line>
            <v:rect id="_x0000_s1106" o:spid="_x0000_s1106" o:spt="1" style="position:absolute;left:4238;top:3458;height:22;width:168;" fillcolor="#000000" filled="t" stroked="f" coordsize="21600,21600">
              <v:path/>
              <v:fill on="t" focussize="0,0"/>
              <v:stroke on="f"/>
              <v:imagedata o:title=""/>
              <o:lock v:ext="edit"/>
            </v:rect>
            <v:shape id="_x0000_s1107" o:spid="_x0000_s1107" style="position:absolute;left:4248;top:3429;height:39;width:200;" fillcolor="#004D99" filled="t" stroked="f" coordorigin="4248,3430" coordsize="200,39" path="m4447,3430l4299,3430,4248,3468,4397,3468,4447,3430xe">
              <v:path arrowok="t"/>
              <v:fill on="t" focussize="0,0"/>
              <v:stroke on="f"/>
              <v:imagedata o:title=""/>
              <o:lock v:ext="edit"/>
            </v:shape>
            <v:shape id="_x0000_s1108" o:spid="_x0000_s1108" style="position:absolute;left:4248;top:3429;height:39;width:200;" filled="f" stroked="t" coordorigin="4248,3430" coordsize="200,39" path="m4397,3468l4447,3430,4299,3430,4248,3468,4397,3468xe">
              <v:path arrowok="t"/>
              <v:fill on="f" focussize="0,0"/>
              <v:stroke weight="0.952913385826772pt" color="#000000"/>
              <v:imagedata o:title=""/>
              <o:lock v:ext="edit"/>
            </v:shape>
            <v:shape id="_x0000_s1109" o:spid="_x0000_s1109" o:spt="75" type="#_x0000_t75" style="position:absolute;left:4609;top:3347;height:146;width:218;" filled="f" stroked="f" coordsize="21600,21600">
              <v:path/>
              <v:fill on="f" focussize="0,0"/>
              <v:stroke on="f"/>
              <v:imagedata r:id="rId12" o:title=""/>
              <o:lock v:ext="edit" aspectratio="t"/>
            </v:shape>
            <v:shape id="_x0000_s1110" o:spid="_x0000_s1110" o:spt="75" type="#_x0000_t75" style="position:absolute;left:4980;top:3278;height:215;width:218;" filled="f" stroked="f" coordsize="21600,21600">
              <v:path/>
              <v:fill on="f" focussize="0,0"/>
              <v:stroke on="f"/>
              <v:imagedata r:id="rId13" o:title=""/>
              <o:lock v:ext="edit" aspectratio="t"/>
            </v:shape>
            <v:shape id="_x0000_s1111" o:spid="_x0000_s1111" o:spt="75" type="#_x0000_t75" style="position:absolute;left:5351;top:3242;height:251;width:218;" filled="f" stroked="f" coordsize="21600,21600">
              <v:path/>
              <v:fill on="f" focussize="0,0"/>
              <v:stroke on="f"/>
              <v:imagedata r:id="rId14" o:title=""/>
              <o:lock v:ext="edit" aspectratio="t"/>
            </v:shape>
            <v:shape id="_x0000_s1112" o:spid="_x0000_s1112" o:spt="75" type="#_x0000_t75" style="position:absolute;left:5721;top:3158;height:335;width:218;" filled="f" stroked="f" coordsize="21600,21600">
              <v:path/>
              <v:fill on="f" focussize="0,0"/>
              <v:stroke on="f"/>
              <v:imagedata r:id="rId15" o:title=""/>
              <o:lock v:ext="edit" aspectratio="t"/>
            </v:shape>
            <v:shape id="_x0000_s1113" o:spid="_x0000_s1113" o:spt="75" type="#_x0000_t75" style="position:absolute;left:6093;top:2995;height:498;width:219;" filled="f" stroked="f" coordsize="21600,21600">
              <v:path/>
              <v:fill on="f" focussize="0,0"/>
              <v:stroke on="f"/>
              <v:imagedata r:id="rId16" o:title=""/>
              <o:lock v:ext="edit" aspectratio="t"/>
            </v:shape>
            <v:shape id="_x0000_s1114" o:spid="_x0000_s1114" o:spt="75" type="#_x0000_t75" style="position:absolute;left:6463;top:2863;height:630;width:218;" filled="f" stroked="f" coordsize="21600,21600">
              <v:path/>
              <v:fill on="f" focussize="0,0"/>
              <v:stroke on="f"/>
              <v:imagedata r:id="rId17" o:title=""/>
              <o:lock v:ext="edit" aspectratio="t"/>
            </v:shape>
            <v:shape id="_x0000_s1115" o:spid="_x0000_s1115" o:spt="75" type="#_x0000_t75" style="position:absolute;left:6833;top:2736;height:757;width:219;" filled="f" stroked="f" coordsize="21600,21600">
              <v:path/>
              <v:fill on="f" focussize="0,0"/>
              <v:stroke on="f"/>
              <v:imagedata r:id="rId18" o:title=""/>
              <o:lock v:ext="edit" aspectratio="t"/>
            </v:shape>
            <v:shape id="_x0000_s1116" o:spid="_x0000_s1116" style="position:absolute;left:7363;top:3107;height:377;width:52;" fillcolor="#4D4D80" filled="t" stroked="f" coordorigin="7363,3107" coordsize="52,377" path="m7415,3107l7363,3147,7363,3484,7415,3445,7415,3107xe">
              <v:path arrowok="t"/>
              <v:fill on="t" focussize="0,0"/>
              <v:stroke on="f"/>
              <v:imagedata o:title=""/>
              <o:lock v:ext="edit"/>
            </v:shape>
            <v:shape id="_x0000_s1117" o:spid="_x0000_s1117" style="position:absolute;left:7363;top:3107;height:377;width:52;" filled="f" stroked="t" coordorigin="7363,3107" coordsize="52,377" path="m7363,3484l7363,3147,7415,3107,7415,3445,7363,3484xe">
              <v:path arrowok="t"/>
              <v:fill on="f" focussize="0,0"/>
              <v:stroke weight="0.95488188976378pt" color="#000000"/>
              <v:imagedata o:title=""/>
              <o:lock v:ext="edit"/>
            </v:shape>
            <v:rect id="_x0000_s1118" o:spid="_x0000_s1118" o:spt="1" style="position:absolute;left:7215;top:3146;height:337;width:148;" fillcolor="#9999FF" filled="t" stroked="f" coordsize="21600,21600">
              <v:path/>
              <v:fill on="t" focussize="0,0"/>
              <v:stroke on="f"/>
              <v:imagedata o:title=""/>
              <o:lock v:ext="edit"/>
            </v:rect>
            <v:rect id="_x0000_s1119" o:spid="_x0000_s1119" o:spt="1" style="position:absolute;left:7215;top:3146;height:337;width:148;" filled="f" stroked="t" coordsize="21600,21600">
              <v:path/>
              <v:fill on="f" focussize="0,0"/>
              <v:stroke weight="0.954566929133858pt" color="#000000"/>
              <v:imagedata o:title=""/>
              <o:lock v:ext="edit"/>
            </v:rect>
            <v:shape id="_x0000_s1120" o:spid="_x0000_s1120" style="position:absolute;left:7363;top:2901;height:246;width:52;" fillcolor="#4D1A33" filled="t" stroked="f" coordorigin="7363,2901" coordsize="52,246" path="m7415,2901l7363,2939,7363,3147,7415,3107,7415,2901xe">
              <v:path arrowok="t"/>
              <v:fill on="t" focussize="0,0"/>
              <v:stroke on="f"/>
              <v:imagedata o:title=""/>
              <o:lock v:ext="edit"/>
            </v:shape>
            <v:shape id="_x0000_s1121" o:spid="_x0000_s1121" style="position:absolute;left:7363;top:2901;height:246;width:52;" filled="f" stroked="t" coordorigin="7363,2901" coordsize="52,246" path="m7363,3147l7363,2939,7415,2901,7415,3107,7363,3147xe">
              <v:path arrowok="t"/>
              <v:fill on="f" focussize="0,0"/>
              <v:stroke weight="0.954803149606299pt" color="#000000"/>
              <v:imagedata o:title=""/>
              <o:lock v:ext="edit"/>
            </v:shape>
            <v:rect id="_x0000_s1122" o:spid="_x0000_s1122" o:spt="1" style="position:absolute;left:7215;top:2939;height:208;width:148;" fillcolor="#993366" filled="t" stroked="f" coordsize="21600,21600">
              <v:path/>
              <v:fill on="t" focussize="0,0"/>
              <v:stroke on="f"/>
              <v:imagedata o:title=""/>
              <o:lock v:ext="edit"/>
            </v:rect>
            <v:rect id="_x0000_s1123" o:spid="_x0000_s1123" o:spt="1" style="position:absolute;left:7215;top:2939;height:208;width:148;" filled="f" stroked="t" coordsize="21600,21600">
              <v:path/>
              <v:fill on="f" focussize="0,0"/>
              <v:stroke weight="0.954251968503937pt" color="#000000"/>
              <v:imagedata o:title=""/>
              <o:lock v:ext="edit"/>
            </v:rect>
            <v:shape id="_x0000_s1124" o:spid="_x0000_s1124" style="position:absolute;left:7363;top:2895;height:44;width:52;" fillcolor="#808066" filled="t" stroked="f" coordorigin="7363,2895" coordsize="52,44" path="m7415,2895l7363,2933,7363,2939,7415,2901,7415,2895xe">
              <v:path arrowok="t"/>
              <v:fill on="t" focussize="0,0"/>
              <v:stroke on="f"/>
              <v:imagedata o:title=""/>
              <o:lock v:ext="edit"/>
            </v:shape>
            <v:shape id="_x0000_s1125" o:spid="_x0000_s1125" style="position:absolute;left:7363;top:2895;height:44;width:52;" filled="f" stroked="t" coordorigin="7363,2895" coordsize="52,44" path="m7363,2939l7363,2933,7415,2895,7415,2901,7363,2939xe">
              <v:path arrowok="t"/>
              <v:fill on="f" focussize="0,0"/>
              <v:stroke weight="0.953700787401575pt" color="#000000"/>
              <v:imagedata o:title=""/>
              <o:lock v:ext="edit"/>
            </v:shape>
            <v:line id="_x0000_s1126" o:spid="_x0000_s1126" o:spt="20" style="position:absolute;left:7215;top:2936;height:0;width:148;" stroked="t" coordsize="21600,21600">
              <v:path arrowok="t"/>
              <v:fill focussize="0,0"/>
              <v:stroke weight="0.292834645669291pt" color="#FFFFCC"/>
              <v:imagedata o:title=""/>
              <o:lock v:ext="edit"/>
            </v:line>
            <v:rect id="_x0000_s1127" o:spid="_x0000_s1127" o:spt="1" style="position:absolute;left:7205;top:2923;height:25;width:167;" fillcolor="#000000" filled="t" stroked="f" coordsize="21600,21600">
              <v:path/>
              <v:fill on="t" focussize="0,0"/>
              <v:stroke on="f"/>
              <v:imagedata o:title=""/>
              <o:lock v:ext="edit"/>
            </v:rect>
            <v:shape id="_x0000_s1128" o:spid="_x0000_s1128" style="position:absolute;left:7363;top:2648;height:286;width:52;" fillcolor="#804040" filled="t" stroked="f" coordorigin="7363,2648" coordsize="52,286" path="m7415,2648l7363,2686,7363,2933,7415,2895,7415,2648xe">
              <v:path arrowok="t"/>
              <v:fill on="t" focussize="0,0"/>
              <v:stroke on="f"/>
              <v:imagedata o:title=""/>
              <o:lock v:ext="edit"/>
            </v:shape>
            <v:shape id="_x0000_s1129" o:spid="_x0000_s1129" style="position:absolute;left:7363;top:2648;height:286;width:52;" filled="f" stroked="t" coordorigin="7363,2648" coordsize="52,286" path="m7363,2933l7363,2686,7415,2648,7415,2895,7363,2933xe">
              <v:path arrowok="t"/>
              <v:fill on="f" focussize="0,0"/>
              <v:stroke weight="0.95488188976378pt" color="#000000"/>
              <v:imagedata o:title=""/>
              <o:lock v:ext="edit"/>
            </v:shape>
            <v:rect id="_x0000_s1130" o:spid="_x0000_s1130" o:spt="1" style="position:absolute;left:7215;top:2686;height:247;width:148;" fillcolor="#FF8080" filled="t" stroked="f" coordsize="21600,21600">
              <v:path/>
              <v:fill on="t" focussize="0,0"/>
              <v:stroke on="f"/>
              <v:imagedata o:title=""/>
              <o:lock v:ext="edit"/>
            </v:rect>
            <v:rect id="_x0000_s1131" o:spid="_x0000_s1131" o:spt="1" style="position:absolute;left:7215;top:2686;height:247;width:148;" filled="f" stroked="t" coordsize="21600,21600">
              <v:path/>
              <v:fill on="f" focussize="0,0"/>
              <v:stroke weight="0.954409448818898pt" color="#000000"/>
              <v:imagedata o:title=""/>
              <o:lock v:ext="edit"/>
            </v:rect>
            <v:shape id="_x0000_s1132" o:spid="_x0000_s1132" style="position:absolute;left:7363;top:2613;height:73;width:52;" fillcolor="#003366" filled="t" stroked="f" coordorigin="7363,2614" coordsize="52,73" path="m7415,2614l7363,2652,7363,2686,7415,2648,7415,2614xe">
              <v:path arrowok="t"/>
              <v:fill on="t" focussize="0,0"/>
              <v:stroke on="f"/>
              <v:imagedata o:title=""/>
              <o:lock v:ext="edit"/>
            </v:shape>
            <v:shape id="_x0000_s1133" o:spid="_x0000_s1133" style="position:absolute;left:7363;top:2613;height:73;width:52;" filled="f" stroked="t" coordorigin="7363,2614" coordsize="52,73" path="m7363,2686l7363,2652,7415,2614,7415,2648,7363,2686xe">
              <v:path arrowok="t"/>
              <v:fill on="f" focussize="0,0"/>
              <v:stroke weight="0.954251968503937pt" color="#000000"/>
              <v:imagedata o:title=""/>
              <o:lock v:ext="edit"/>
            </v:shape>
            <v:rect id="_x0000_s1134" o:spid="_x0000_s1134" o:spt="1" style="position:absolute;left:7215;top:2651;height:35;width:148;" fillcolor="#0066CC" filled="t" stroked="f" coordsize="21600,21600">
              <v:path/>
              <v:fill on="t" focussize="0,0"/>
              <v:stroke on="f"/>
              <v:imagedata o:title=""/>
              <o:lock v:ext="edit"/>
            </v:rect>
            <v:rect id="_x0000_s1135" o:spid="_x0000_s1135" o:spt="1" style="position:absolute;left:7205;top:2642;height:54;width:167;" fillcolor="#000000" filled="t" stroked="f" coordsize="21600,21600">
              <v:path/>
              <v:fill on="t" focussize="0,0"/>
              <v:stroke on="f"/>
              <v:imagedata o:title=""/>
              <o:lock v:ext="edit"/>
            </v:rect>
            <v:shape id="_x0000_s1136" o:spid="_x0000_s1136" style="position:absolute;left:7363;top:2584;height:67;width:52;" fillcolor="#666680" filled="t" stroked="f" coordorigin="7363,2585" coordsize="52,67" path="m7415,2585l7363,2623,7363,2652,7415,2614,7415,2585xe">
              <v:path arrowok="t"/>
              <v:fill on="t" focussize="0,0"/>
              <v:stroke on="f"/>
              <v:imagedata o:title=""/>
              <o:lock v:ext="edit"/>
            </v:shape>
            <v:shape id="_x0000_s1137" o:spid="_x0000_s1137" style="position:absolute;left:7363;top:2584;height:67;width:52;" filled="f" stroked="t" coordorigin="7363,2585" coordsize="52,67" path="m7363,2652l7363,2623,7415,2585,7415,2614,7363,2652xe">
              <v:path arrowok="t"/>
              <v:fill on="f" focussize="0,0"/>
              <v:stroke weight="0.954173228346457pt" color="#000000"/>
              <v:imagedata o:title=""/>
              <o:lock v:ext="edit"/>
            </v:shape>
            <v:rect id="_x0000_s1138" o:spid="_x0000_s1138" o:spt="1" style="position:absolute;left:7215;top:2623;height:29;width:148;" fillcolor="#CCCCFF" filled="t" stroked="f" coordsize="21600,21600">
              <v:path/>
              <v:fill on="t" focussize="0,0"/>
              <v:stroke on="f"/>
              <v:imagedata o:title=""/>
              <o:lock v:ext="edit"/>
            </v:rect>
            <v:rect id="_x0000_s1139" o:spid="_x0000_s1139" o:spt="1" style="position:absolute;left:7205;top:2613;height:48;width:167;" fillcolor="#000000" filled="t" stroked="f" coordsize="21600,21600">
              <v:path/>
              <v:fill on="t" focussize="0,0"/>
              <v:stroke on="f"/>
              <v:imagedata o:title=""/>
              <o:lock v:ext="edit"/>
            </v:rect>
            <v:shape id="_x0000_s1140" o:spid="_x0000_s1140" style="position:absolute;left:7215;top:2584;height:39;width:200;" fillcolor="#9999BE" filled="t" stroked="f" coordorigin="7215,2585" coordsize="200,39" path="m7415,2585l7266,2585,7215,2623,7363,2623,7415,2585xe">
              <v:path arrowok="t"/>
              <v:fill on="t" focussize="0,0"/>
              <v:stroke on="f"/>
              <v:imagedata o:title=""/>
              <o:lock v:ext="edit"/>
            </v:shape>
            <v:shape id="_x0000_s1141" o:spid="_x0000_s1141" style="position:absolute;left:7215;top:2584;height:39;width:200;" filled="f" stroked="t" coordorigin="7215,2585" coordsize="200,39" path="m7363,2623l7415,2585,7266,2585,7215,2623,7363,2623xe">
              <v:path arrowok="t"/>
              <v:fill on="f" focussize="0,0"/>
              <v:stroke weight="0.952913385826772pt" color="#000000"/>
              <v:imagedata o:title=""/>
              <o:lock v:ext="edit"/>
            </v:shape>
            <v:line id="_x0000_s1142" o:spid="_x0000_s1142" o:spt="20" style="position:absolute;left:7760;top:2895;height:589;width:0;" stroked="t" coordsize="21600,21600">
              <v:path arrowok="t"/>
              <v:fill focussize="0,0"/>
              <v:stroke weight="2.5259842519685pt" color="#4D4D80"/>
              <v:imagedata o:title=""/>
              <o:lock v:ext="edit"/>
            </v:line>
            <v:shape id="_x0000_s1143" o:spid="_x0000_s1143" style="position:absolute;left:7734;top:2895;height:589;width:51;" filled="f" stroked="t" coordorigin="7734,2895" coordsize="51,589" path="m7734,3484l7734,2933,7785,2895,7785,3445,7734,3484xe">
              <v:path arrowok="t"/>
              <v:fill on="f" focussize="0,0"/>
              <v:stroke weight="0.95488188976378pt" color="#000000"/>
              <v:imagedata o:title=""/>
              <o:lock v:ext="edit"/>
            </v:shape>
            <v:rect id="_x0000_s1144" o:spid="_x0000_s1144" o:spt="1" style="position:absolute;left:7585;top:2933;height:551;width:149;" fillcolor="#9999FF" filled="t" stroked="f" coordsize="21600,21600">
              <v:path/>
              <v:fill on="t" focussize="0,0"/>
              <v:stroke on="f"/>
              <v:imagedata o:title=""/>
              <o:lock v:ext="edit"/>
            </v:rect>
            <v:rect id="_x0000_s1145" o:spid="_x0000_s1145" o:spt="1" style="position:absolute;left:7585;top:2933;height:551;width:149;" filled="f" stroked="t" coordsize="21600,21600">
              <v:path/>
              <v:fill on="f" focussize="0,0"/>
              <v:stroke weight="0.954803149606299pt" color="#000000"/>
              <v:imagedata o:title=""/>
              <o:lock v:ext="edit"/>
            </v:rect>
            <v:shape id="_x0000_s1146" o:spid="_x0000_s1146" o:spt="75" type="#_x0000_t75" style="position:absolute;left:7576;top:2246;height:697;width:218;" filled="f" stroked="f" coordsize="21600,21600">
              <v:path/>
              <v:fill on="f" focussize="0,0"/>
              <v:stroke on="f"/>
              <v:imagedata r:id="rId19" o:title=""/>
              <o:lock v:ext="edit" aspectratio="t"/>
            </v:shape>
            <v:line id="_x0000_s1147" o:spid="_x0000_s1147" o:spt="20" style="position:absolute;left:8130;top:2810;height:674;width:0;" stroked="t" coordsize="21600,21600">
              <v:path arrowok="t"/>
              <v:fill focussize="0,0"/>
              <v:stroke weight="2.5159842519685pt" color="#4D4D80"/>
              <v:imagedata o:title=""/>
              <o:lock v:ext="edit"/>
            </v:line>
            <v:shape id="_x0000_s1148" o:spid="_x0000_s1148" style="position:absolute;left:8105;top:2809;height:674;width:51;" filled="f" stroked="t" coordorigin="8105,2810" coordsize="51,674" path="m8105,3484l8105,2849,8155,2810,8155,3445,8105,3484xe">
              <v:path arrowok="t"/>
              <v:fill on="f" focussize="0,0"/>
              <v:stroke weight="0.95488188976378pt" color="#000000"/>
              <v:imagedata o:title=""/>
              <o:lock v:ext="edit"/>
            </v:shape>
            <v:rect id="_x0000_s1149" o:spid="_x0000_s1149" o:spt="1" style="position:absolute;left:7956;top:2848;height:636;width:149;" fillcolor="#9999FF" filled="t" stroked="f" coordsize="21600,21600">
              <v:path/>
              <v:fill on="t" focussize="0,0"/>
              <v:stroke on="f"/>
              <v:imagedata o:title=""/>
              <o:lock v:ext="edit"/>
            </v:rect>
            <v:rect id="_x0000_s1150" o:spid="_x0000_s1150" o:spt="1" style="position:absolute;left:7956;top:2848;height:636;width:149;" filled="f" stroked="t" coordsize="21600,21600">
              <v:path/>
              <v:fill on="f" focussize="0,0"/>
              <v:stroke weight="0.954803149606299pt" color="#000000"/>
              <v:imagedata o:title=""/>
              <o:lock v:ext="edit"/>
            </v:rect>
            <v:shape id="_x0000_s1151" o:spid="_x0000_s1151" o:spt="75" type="#_x0000_t75" style="position:absolute;left:7946;top:2228;height:630;width:219;" filled="f" stroked="f" coordsize="21600,21600">
              <v:path/>
              <v:fill on="f" focussize="0,0"/>
              <v:stroke on="f"/>
              <v:imagedata r:id="rId20" o:title=""/>
              <o:lock v:ext="edit" aspectratio="t"/>
            </v:shape>
            <v:shape id="_x0000_s1152" o:spid="_x0000_s1152" style="position:absolute;left:8105;top:2228;height:384;width:51;" filled="f" stroked="t" coordorigin="8105,2229" coordsize="51,384" path="m8105,2612l8105,2267,8155,2229,8155,2574,8105,2612xe">
              <v:path arrowok="t"/>
              <v:fill on="f" focussize="0,0"/>
              <v:stroke weight="0.95488188976378pt" color="#000000"/>
              <v:imagedata o:title=""/>
              <o:lock v:ext="edit"/>
            </v:shape>
            <v:shape id="_x0000_s1153" o:spid="_x0000_s1153" o:spt="75" type="#_x0000_t75" style="position:absolute;left:7946;top:2098;height:524;width:219;" filled="f" stroked="f" coordsize="21600,21600">
              <v:path/>
              <v:fill on="f" focussize="0,0"/>
              <v:stroke on="f"/>
              <v:imagedata r:id="rId21" o:title=""/>
              <o:lock v:ext="edit" aspectratio="t"/>
            </v:shape>
            <v:line id="_x0000_s1154" o:spid="_x0000_s1154" o:spt="20" style="position:absolute;left:8501;top:2804;height:680;width:0;" stroked="t" coordsize="21600,21600">
              <v:path arrowok="t"/>
              <v:fill focussize="0,0"/>
              <v:stroke weight="2.59582677165354pt" color="#4D4D80"/>
              <v:imagedata o:title=""/>
              <o:lock v:ext="edit"/>
            </v:line>
            <v:shape id="_x0000_s1155" o:spid="_x0000_s1155" style="position:absolute;left:8475;top:2804;height:680;width:52;" filled="f" stroked="t" coordorigin="8475,2804" coordsize="52,680" path="m8475,3484l8475,2843,8527,2804,8527,3445,8475,3484xe">
              <v:path arrowok="t"/>
              <v:fill on="f" focussize="0,0"/>
              <v:stroke weight="0.95488188976378pt" color="#000000"/>
              <v:imagedata o:title=""/>
              <o:lock v:ext="edit"/>
            </v:shape>
            <v:rect id="_x0000_s1156" o:spid="_x0000_s1156" o:spt="1" style="position:absolute;left:8327;top:2842;height:641;width:148;" fillcolor="#9999FF" filled="t" stroked="f" coordsize="21600,21600">
              <v:path/>
              <v:fill on="t" focussize="0,0"/>
              <v:stroke on="f"/>
              <v:imagedata o:title=""/>
              <o:lock v:ext="edit"/>
            </v:rect>
            <v:rect id="_x0000_s1157" o:spid="_x0000_s1157" o:spt="1" style="position:absolute;left:8327;top:2842;height:641;width:148;" filled="f" stroked="t" coordsize="21600,21600">
              <v:path/>
              <v:fill on="f" focussize="0,0"/>
              <v:stroke weight="0.954803149606299pt" color="#000000"/>
              <v:imagedata o:title=""/>
              <o:lock v:ext="edit"/>
            </v:rect>
            <v:shape id="_x0000_s1158" o:spid="_x0000_s1158" o:spt="75" type="#_x0000_t75" style="position:absolute;left:8318;top:2521;height:331;width:219;" filled="f" stroked="f" coordsize="21600,21600">
              <v:path/>
              <v:fill on="f" focussize="0,0"/>
              <v:stroke on="f"/>
              <v:imagedata r:id="rId22" o:title=""/>
              <o:lock v:ext="edit" aspectratio="t"/>
            </v:shape>
            <v:shape id="_x0000_s1159" o:spid="_x0000_s1159" style="position:absolute;left:8475;top:2154;height:415;width:52;" fillcolor="#804040" filled="t" stroked="f" coordorigin="8475,2155" coordsize="52,415" path="m8527,2155l8475,2193,8475,2569,8527,2531,8527,2155xe">
              <v:path arrowok="t"/>
              <v:fill on="t" focussize="0,0"/>
              <v:stroke on="f"/>
              <v:imagedata o:title=""/>
              <o:lock v:ext="edit"/>
            </v:shape>
            <v:shape id="_x0000_s1160" o:spid="_x0000_s1160" style="position:absolute;left:8475;top:2154;height:415;width:52;" filled="f" stroked="t" coordorigin="8475,2155" coordsize="52,415" path="m8475,2569l8475,2193,8527,2155,8527,2531,8475,2569xe">
              <v:path arrowok="t"/>
              <v:fill on="f" focussize="0,0"/>
              <v:stroke weight="0.95488188976378pt" color="#000000"/>
              <v:imagedata o:title=""/>
              <o:lock v:ext="edit"/>
            </v:shape>
            <v:shape id="_x0000_s1161" o:spid="_x0000_s1161" o:spt="75" type="#_x0000_t75" style="position:absolute;left:8318;top:2018;height:561;width:219;" filled="f" stroked="f" coordsize="21600,21600">
              <v:path/>
              <v:fill on="f" focussize="0,0"/>
              <v:stroke on="f"/>
              <v:imagedata r:id="rId23" o:title=""/>
              <o:lock v:ext="edit" aspectratio="t"/>
            </v:shape>
            <v:line id="_x0000_s1162" o:spid="_x0000_s1162" o:spt="20" style="position:absolute;left:8872;top:2686;height:798;width:0;" stroked="t" coordsize="21600,21600">
              <v:path arrowok="t"/>
              <v:fill focussize="0,0"/>
              <v:stroke weight="2.5259842519685pt" color="#4D4D80"/>
              <v:imagedata o:title=""/>
              <o:lock v:ext="edit"/>
            </v:line>
            <v:shape id="_x0000_s1163" o:spid="_x0000_s1163" style="position:absolute;left:8846;top:2686;height:798;width:51;" filled="f" stroked="t" coordorigin="8847,2686" coordsize="51,798" path="m8847,3484l8847,2725,8897,2686,8897,3445,8847,3484xe">
              <v:path arrowok="t"/>
              <v:fill on="f" focussize="0,0"/>
              <v:stroke weight="0.95488188976378pt" color="#000000"/>
              <v:imagedata o:title=""/>
              <o:lock v:ext="edit"/>
            </v:shape>
            <v:rect id="_x0000_s1164" o:spid="_x0000_s1164" o:spt="1" style="position:absolute;left:8698;top:2725;height:759;width:149;" fillcolor="#9999FF" filled="t" stroked="f" coordsize="21600,21600">
              <v:path/>
              <v:fill on="t" focussize="0,0"/>
              <v:stroke on="f"/>
              <v:imagedata o:title=""/>
              <o:lock v:ext="edit"/>
            </v:rect>
            <v:rect id="_x0000_s1165" o:spid="_x0000_s1165" o:spt="1" style="position:absolute;left:8698;top:2725;height:759;width:149;" filled="f" stroked="t" coordsize="21600,21600">
              <v:path/>
              <v:fill on="f" focussize="0,0"/>
              <v:stroke weight="0.95488188976378pt" color="#000000"/>
              <v:imagedata o:title=""/>
              <o:lock v:ext="edit"/>
            </v:rect>
            <v:shape id="_x0000_s1166" o:spid="_x0000_s1166" o:spt="75" type="#_x0000_t75" style="position:absolute;left:8688;top:2406;height:329;width:218;" filled="f" stroked="f" coordsize="21600,21600">
              <v:path/>
              <v:fill on="f" focussize="0,0"/>
              <v:stroke on="f"/>
              <v:imagedata r:id="rId24" o:title=""/>
              <o:lock v:ext="edit" aspectratio="t"/>
            </v:shape>
            <v:shape id="_x0000_s1167" o:spid="_x0000_s1167" style="position:absolute;left:8846;top:1959;height:495;width:51;" fillcolor="#804040" filled="t" stroked="f" coordorigin="8847,1959" coordsize="51,495" path="m8897,1959l8847,1998,8847,2454,8897,2416,8897,1959xe">
              <v:path arrowok="t"/>
              <v:fill on="t" focussize="0,0"/>
              <v:stroke on="f"/>
              <v:imagedata o:title=""/>
              <o:lock v:ext="edit"/>
            </v:shape>
            <v:shape id="_x0000_s1168" o:spid="_x0000_s1168" style="position:absolute;left:8846;top:1959;height:495;width:51;" filled="f" stroked="t" coordorigin="8847,1959" coordsize="51,495" path="m8847,2454l8847,1998,8897,1959,8897,2416,8847,2454xe">
              <v:path arrowok="t"/>
              <v:fill on="f" focussize="0,0"/>
              <v:stroke weight="0.95488188976378pt" color="#000000"/>
              <v:imagedata o:title=""/>
              <o:lock v:ext="edit"/>
            </v:shape>
            <v:rect id="_x0000_s1169" o:spid="_x0000_s1169" o:spt="1" style="position:absolute;left:8698;top:1997;height:457;width:149;" fillcolor="#FF8080" filled="t" stroked="f" coordsize="21600,21600">
              <v:path/>
              <v:fill on="t" focussize="0,0"/>
              <v:stroke on="f"/>
              <v:imagedata o:title=""/>
              <o:lock v:ext="edit"/>
            </v:rect>
            <v:rect id="_x0000_s1170" o:spid="_x0000_s1170" o:spt="1" style="position:absolute;left:8698;top:1997;height:457;width:149;" filled="f" stroked="t" coordsize="21600,21600">
              <v:path/>
              <v:fill on="f" focussize="0,0"/>
              <v:stroke weight="0.954724409448819pt" color="#000000"/>
              <v:imagedata o:title=""/>
              <o:lock v:ext="edit"/>
            </v:rect>
            <v:shape id="_x0000_s1171" o:spid="_x0000_s1171" o:spt="75" type="#_x0000_t75" style="position:absolute;left:8688;top:1820;height:187;width:218;" filled="f" stroked="f" coordsize="21600,21600">
              <v:path/>
              <v:fill on="f" focussize="0,0"/>
              <v:stroke on="f"/>
              <v:imagedata r:id="rId25" o:title=""/>
              <o:lock v:ext="edit" aspectratio="t"/>
            </v:shape>
            <v:line id="_x0000_s1172" o:spid="_x0000_s1172" o:spt="20" style="position:absolute;left:4109;top:1691;flip:y;height:1830;width:0;" stroked="t" coordsize="21600,21600">
              <v:path arrowok="t"/>
              <v:fill focussize="0,0"/>
              <v:stroke weight="0.139763779527559pt" color="#000000"/>
              <v:imagedata o:title=""/>
              <o:lock v:ext="edit"/>
            </v:line>
            <v:line id="_x0000_s1173" o:spid="_x0000_s1173" o:spt="20" style="position:absolute;left:4109;top:3521;flip:x;height:0;width:33;" stroked="t" coordsize="21600,21600">
              <v:path arrowok="t"/>
              <v:fill focussize="0,0"/>
              <v:stroke weight="0.139448818897638pt" color="#000000"/>
              <v:imagedata o:title=""/>
              <o:lock v:ext="edit"/>
            </v:line>
            <v:line id="_x0000_s1174" o:spid="_x0000_s1174" o:spt="20" style="position:absolute;left:4109;top:3063;flip:x;height:0;width:33;" stroked="t" coordsize="21600,21600">
              <v:path arrowok="t"/>
              <v:fill focussize="0,0"/>
              <v:stroke weight="0.139448818897638pt" color="#000000"/>
              <v:imagedata o:title=""/>
              <o:lock v:ext="edit"/>
            </v:line>
            <v:line id="_x0000_s1175" o:spid="_x0000_s1175" o:spt="20" style="position:absolute;left:4109;top:2605;flip:x;height:0;width:33;" stroked="t" coordsize="21600,21600">
              <v:path arrowok="t"/>
              <v:fill focussize="0,0"/>
              <v:stroke weight="0.139448818897638pt" color="#000000"/>
              <v:imagedata o:title=""/>
              <o:lock v:ext="edit"/>
            </v:line>
            <v:line id="_x0000_s1176" o:spid="_x0000_s1176" o:spt="20" style="position:absolute;left:4109;top:2148;flip:x;height:0;width:33;" stroked="t" coordsize="21600,21600">
              <v:path arrowok="t"/>
              <v:fill focussize="0,0"/>
              <v:stroke weight="0.139448818897638pt" color="#000000"/>
              <v:imagedata o:title=""/>
              <o:lock v:ext="edit"/>
            </v:line>
            <v:line id="_x0000_s1177" o:spid="_x0000_s1177" o:spt="20" style="position:absolute;left:4109;top:1690;flip:x;height:0;width:33;" stroked="t" coordsize="21600,21600">
              <v:path arrowok="t"/>
              <v:fill focussize="0,0"/>
              <v:stroke weight="0.139448818897638pt" color="#000000"/>
              <v:imagedata o:title=""/>
              <o:lock v:ext="edit"/>
            </v:line>
            <v:line id="_x0000_s1178" o:spid="_x0000_s1178" o:spt="20" style="position:absolute;left:4109;top:3521;height:0;width:4819;" stroked="t" coordsize="21600,21600">
              <v:path arrowok="t"/>
              <v:fill focussize="0,0"/>
              <v:stroke weight="0.139448818897638pt" color="#000000"/>
              <v:imagedata o:title=""/>
              <o:lock v:ext="edit"/>
            </v:line>
            <v:line id="_x0000_s1179" o:spid="_x0000_s1179" o:spt="20" style="position:absolute;left:4109;top:3487;height:33;width:0;" stroked="t" coordsize="21600,21600">
              <v:path arrowok="t"/>
              <v:fill focussize="0,0"/>
              <v:stroke weight="0.139763779527559pt" color="#000000"/>
              <v:imagedata o:title=""/>
              <o:lock v:ext="edit"/>
            </v:line>
            <v:line id="_x0000_s1180" o:spid="_x0000_s1180" o:spt="20" style="position:absolute;left:4479;top:3487;height:33;width:0;" stroked="t" coordsize="21600,21600">
              <v:path arrowok="t"/>
              <v:fill focussize="0,0"/>
              <v:stroke weight="0.139763779527559pt" color="#000000"/>
              <v:imagedata o:title=""/>
              <o:lock v:ext="edit"/>
            </v:line>
            <v:line id="_x0000_s1181" o:spid="_x0000_s1181" o:spt="20" style="position:absolute;left:4849;top:3487;height:33;width:0;" stroked="t" coordsize="21600,21600">
              <v:path arrowok="t"/>
              <v:fill focussize="0,0"/>
              <v:stroke weight="0.139763779527559pt" color="#000000"/>
              <v:imagedata o:title=""/>
              <o:lock v:ext="edit"/>
            </v:line>
            <v:line id="_x0000_s1182" o:spid="_x0000_s1182" o:spt="20" style="position:absolute;left:5220;top:3487;height:33;width:0;" stroked="t" coordsize="21600,21600">
              <v:path arrowok="t"/>
              <v:fill focussize="0,0"/>
              <v:stroke weight="0.139763779527559pt" color="#000000"/>
              <v:imagedata o:title=""/>
              <o:lock v:ext="edit"/>
            </v:line>
            <v:line id="_x0000_s1183" o:spid="_x0000_s1183" o:spt="20" style="position:absolute;left:5591;top:3487;height:33;width:0;" stroked="t" coordsize="21600,21600">
              <v:path arrowok="t"/>
              <v:fill focussize="0,0"/>
              <v:stroke weight="0.139763779527559pt" color="#000000"/>
              <v:imagedata o:title=""/>
              <o:lock v:ext="edit"/>
            </v:line>
            <v:line id="_x0000_s1184" o:spid="_x0000_s1184" o:spt="20" style="position:absolute;left:5961;top:3487;height:33;width:0;" stroked="t" coordsize="21600,21600">
              <v:path arrowok="t"/>
              <v:fill focussize="0,0"/>
              <v:stroke weight="0.139763779527559pt" color="#000000"/>
              <v:imagedata o:title=""/>
              <o:lock v:ext="edit"/>
            </v:line>
            <v:line id="_x0000_s1185" o:spid="_x0000_s1185" o:spt="20" style="position:absolute;left:6332;top:3487;height:33;width:0;" stroked="t" coordsize="21600,21600">
              <v:path arrowok="t"/>
              <v:fill focussize="0,0"/>
              <v:stroke weight="0.139763779527559pt" color="#000000"/>
              <v:imagedata o:title=""/>
              <o:lock v:ext="edit"/>
            </v:line>
            <v:line id="_x0000_s1186" o:spid="_x0000_s1186" o:spt="20" style="position:absolute;left:6704;top:3487;height:33;width:0;" stroked="t" coordsize="21600,21600">
              <v:path arrowok="t"/>
              <v:fill focussize="0,0"/>
              <v:stroke weight="0.139763779527559pt" color="#000000"/>
              <v:imagedata o:title=""/>
              <o:lock v:ext="edit"/>
            </v:line>
            <v:line id="_x0000_s1187" o:spid="_x0000_s1187" o:spt="20" style="position:absolute;left:7074;top:3487;height:33;width:0;" stroked="t" coordsize="21600,21600">
              <v:path arrowok="t"/>
              <v:fill focussize="0,0"/>
              <v:stroke weight="0.139763779527559pt" color="#000000"/>
              <v:imagedata o:title=""/>
              <o:lock v:ext="edit"/>
            </v:line>
            <v:line id="_x0000_s1188" o:spid="_x0000_s1188" o:spt="20" style="position:absolute;left:7445;top:3487;height:33;width:0;" stroked="t" coordsize="21600,21600">
              <v:path arrowok="t"/>
              <v:fill focussize="0,0"/>
              <v:stroke weight="0.139763779527559pt" color="#000000"/>
              <v:imagedata o:title=""/>
              <o:lock v:ext="edit"/>
            </v:line>
            <v:line id="_x0000_s1189" o:spid="_x0000_s1189" o:spt="20" style="position:absolute;left:7817;top:3487;height:33;width:0;" stroked="t" coordsize="21600,21600">
              <v:path arrowok="t"/>
              <v:fill focussize="0,0"/>
              <v:stroke weight="0.139763779527559pt" color="#000000"/>
              <v:imagedata o:title=""/>
              <o:lock v:ext="edit"/>
            </v:line>
            <v:line id="_x0000_s1190" o:spid="_x0000_s1190" o:spt="20" style="position:absolute;left:8187;top:3487;height:33;width:0;" stroked="t" coordsize="21600,21600">
              <v:path arrowok="t"/>
              <v:fill focussize="0,0"/>
              <v:stroke weight="0.139763779527559pt" color="#000000"/>
              <v:imagedata o:title=""/>
              <o:lock v:ext="edit"/>
            </v:line>
            <v:line id="_x0000_s1191" o:spid="_x0000_s1191" o:spt="20" style="position:absolute;left:8558;top:3487;height:33;width:0;" stroked="t" coordsize="21600,21600">
              <v:path arrowok="t"/>
              <v:fill focussize="0,0"/>
              <v:stroke weight="0.139763779527559pt" color="#000000"/>
              <v:imagedata o:title=""/>
              <o:lock v:ext="edit"/>
            </v:line>
            <v:line id="_x0000_s1192" o:spid="_x0000_s1192" o:spt="20" style="position:absolute;left:8929;top:3487;height:33;width:0;" stroked="t" coordsize="21600,21600">
              <v:path arrowok="t"/>
              <v:fill focussize="0,0"/>
              <v:stroke weight="0.139763779527559pt" color="#000000"/>
              <v:imagedata o:title=""/>
              <o:lock v:ext="edit"/>
            </v:line>
            <v:rect id="_x0000_s1193" o:spid="_x0000_s1193" o:spt="1" style="position:absolute;left:3408;top:1001;height:324;width:5770;" fillcolor="#FFFFFF" filled="t" stroked="f" coordsize="21600,21600">
              <v:path/>
              <v:fill on="t" focussize="0,0"/>
              <v:stroke on="f"/>
              <v:imagedata o:title=""/>
              <o:lock v:ext="edit"/>
            </v:rect>
            <v:rect id="_x0000_s1194" o:spid="_x0000_s1194" o:spt="1" style="position:absolute;left:3489;top:1105;height:142;width:142;" fillcolor="#9999FF" filled="t" stroked="f" coordsize="21600,21600">
              <v:path/>
              <v:fill on="t" focussize="0,0"/>
              <v:stroke on="f"/>
              <v:imagedata o:title=""/>
              <o:lock v:ext="edit"/>
            </v:rect>
            <v:rect id="_x0000_s1195" o:spid="_x0000_s1195" o:spt="1" style="position:absolute;left:3489;top:1105;height:142;width:142;" filled="f" stroked="t" coordsize="21600,21600">
              <v:path/>
              <v:fill on="f" focussize="0,0"/>
              <v:stroke weight="0.953858267716535pt" color="#000000"/>
              <v:imagedata o:title=""/>
              <o:lock v:ext="edit"/>
            </v:rect>
            <v:rect id="_x0000_s1196" o:spid="_x0000_s1196" o:spt="1" style="position:absolute;left:4546;top:1105;height:142;width:142;" fillcolor="#993366" filled="t" stroked="f" coordsize="21600,21600">
              <v:path/>
              <v:fill on="t" focussize="0,0"/>
              <v:stroke on="f"/>
              <v:imagedata o:title=""/>
              <o:lock v:ext="edit"/>
            </v:rect>
            <v:rect id="_x0000_s1197" o:spid="_x0000_s1197" o:spt="1" style="position:absolute;left:4546;top:1105;height:142;width:142;" filled="f" stroked="t" coordsize="21600,21600">
              <v:path/>
              <v:fill on="f" focussize="0,0"/>
              <v:stroke weight="0.953858267716535pt" color="#000000"/>
              <v:imagedata o:title=""/>
              <o:lock v:ext="edit"/>
            </v:rect>
            <v:rect id="_x0000_s1198" o:spid="_x0000_s1198" o:spt="1" style="position:absolute;left:5604;top:1105;height:142;width:142;" fillcolor="#FFFFCC" filled="t" stroked="f" coordsize="21600,21600">
              <v:path/>
              <v:fill on="t" focussize="0,0"/>
              <v:stroke on="f"/>
              <v:imagedata o:title=""/>
              <o:lock v:ext="edit"/>
            </v:rect>
            <v:rect id="_x0000_s1199" o:spid="_x0000_s1199" o:spt="1" style="position:absolute;left:5604;top:1105;height:142;width:142;" filled="f" stroked="t" coordsize="21600,21600">
              <v:path/>
              <v:fill on="f" focussize="0,0"/>
              <v:stroke weight="0.953858267716535pt" color="#000000"/>
              <v:imagedata o:title=""/>
              <o:lock v:ext="edit"/>
            </v:rect>
            <v:rect id="_x0000_s1200" o:spid="_x0000_s1200" o:spt="1" style="position:absolute;left:7141;top:1105;height:142;width:142;" fillcolor="#FF8080" filled="t" stroked="f" coordsize="21600,21600">
              <v:path/>
              <v:fill on="t" focussize="0,0"/>
              <v:stroke on="f"/>
              <v:imagedata o:title=""/>
              <o:lock v:ext="edit"/>
            </v:rect>
            <v:rect id="_x0000_s1201" o:spid="_x0000_s1201" o:spt="1" style="position:absolute;left:7141;top:1105;height:142;width:142;" filled="f" stroked="t" coordsize="21600,21600">
              <v:path/>
              <v:fill on="f" focussize="0,0"/>
              <v:stroke weight="0.953858267716535pt" color="#000000"/>
              <v:imagedata o:title=""/>
              <o:lock v:ext="edit"/>
            </v:rect>
            <v:rect id="_x0000_s1202" o:spid="_x0000_s1202" o:spt="1" style="position:absolute;left:7838;top:1105;height:142;width:142;" fillcolor="#0066CC" filled="t" stroked="f" coordsize="21600,21600">
              <v:path/>
              <v:fill on="t" focussize="0,0"/>
              <v:stroke on="f"/>
              <v:imagedata o:title=""/>
              <o:lock v:ext="edit"/>
            </v:rect>
            <v:rect id="_x0000_s1203" o:spid="_x0000_s1203" o:spt="1" style="position:absolute;left:7838;top:1105;height:142;width:142;" filled="f" stroked="t" coordsize="21600,21600">
              <v:path/>
              <v:fill on="f" focussize="0,0"/>
              <v:stroke weight="0.953858267716535pt" color="#000000"/>
              <v:imagedata o:title=""/>
              <o:lock v:ext="edit"/>
            </v:rect>
            <v:rect id="_x0000_s1204" o:spid="_x0000_s1204" o:spt="1" style="position:absolute;left:8536;top:1105;height:142;width:142;" fillcolor="#CCCCFF" filled="t" stroked="f" coordsize="21600,21600">
              <v:path/>
              <v:fill on="t" focussize="0,0"/>
              <v:stroke on="f"/>
              <v:imagedata o:title=""/>
              <o:lock v:ext="edit"/>
            </v:rect>
            <v:rect id="_x0000_s1205" o:spid="_x0000_s1205" o:spt="1" style="position:absolute;left:8536;top:1105;height:142;width:142;" filled="f" stroked="t" coordsize="21600,21600">
              <v:path/>
              <v:fill on="f" focussize="0,0"/>
              <v:stroke weight="0.953858267716535pt" color="#000000"/>
              <v:imagedata o:title=""/>
              <o:lock v:ext="edit"/>
            </v:rect>
            <v:shape id="_x0000_s1206" o:spid="_x0000_s1206" o:spt="202" type="#_x0000_t202" style="position:absolute;left:2966;top:944;height:3104;width:6655;" filled="f" stroked="t" coordsize="21600,21600">
              <v:path/>
              <v:fill on="f" focussize="0,0"/>
              <v:stroke weight="0.139527559055118pt" color="#000000"/>
              <v:imagedata o:title=""/>
              <o:lock v:ext="edit"/>
              <v:textbox inset="0mm,0mm,0mm,0mm">
                <w:txbxContent>
                  <w:p w14:paraId="1F3D321B">
                    <w:pPr>
                      <w:spacing w:before="0" w:line="240" w:lineRule="auto"/>
                      <w:rPr>
                        <w:sz w:val="24"/>
                      </w:rPr>
                    </w:pPr>
                  </w:p>
                  <w:p w14:paraId="4627BE7E">
                    <w:pPr>
                      <w:spacing w:before="12" w:line="240" w:lineRule="auto"/>
                      <w:rPr>
                        <w:sz w:val="21"/>
                      </w:rPr>
                    </w:pPr>
                  </w:p>
                  <w:p w14:paraId="66869241">
                    <w:pPr>
                      <w:spacing w:before="0"/>
                      <w:ind w:left="621" w:right="0" w:firstLine="0"/>
                      <w:jc w:val="left"/>
                      <w:rPr>
                        <w:sz w:val="24"/>
                      </w:rPr>
                    </w:pPr>
                    <w:r>
                      <w:rPr>
                        <w:sz w:val="24"/>
                      </w:rPr>
                      <w:t>8000</w:t>
                    </w:r>
                  </w:p>
                  <w:p w14:paraId="7347E7E7">
                    <w:pPr>
                      <w:spacing w:before="150"/>
                      <w:ind w:left="621" w:right="0" w:firstLine="0"/>
                      <w:jc w:val="left"/>
                      <w:rPr>
                        <w:sz w:val="24"/>
                      </w:rPr>
                    </w:pPr>
                    <w:r>
                      <w:rPr>
                        <w:sz w:val="24"/>
                      </w:rPr>
                      <w:t>6000</w:t>
                    </w:r>
                  </w:p>
                  <w:p w14:paraId="099F748A">
                    <w:pPr>
                      <w:spacing w:before="151"/>
                      <w:ind w:left="621" w:right="0" w:firstLine="0"/>
                      <w:jc w:val="left"/>
                      <w:rPr>
                        <w:sz w:val="24"/>
                      </w:rPr>
                    </w:pPr>
                    <w:r>
                      <w:rPr>
                        <w:sz w:val="24"/>
                      </w:rPr>
                      <w:t>4000</w:t>
                    </w:r>
                  </w:p>
                  <w:p w14:paraId="126F94B1">
                    <w:pPr>
                      <w:spacing w:before="150"/>
                      <w:ind w:left="621" w:right="0" w:firstLine="0"/>
                      <w:jc w:val="left"/>
                      <w:rPr>
                        <w:sz w:val="24"/>
                      </w:rPr>
                    </w:pPr>
                    <w:r>
                      <w:rPr>
                        <w:sz w:val="24"/>
                      </w:rPr>
                      <w:t>2000</w:t>
                    </w:r>
                  </w:p>
                  <w:p w14:paraId="4F5C1EFD">
                    <w:pPr>
                      <w:spacing w:before="150" w:line="244" w:lineRule="exact"/>
                      <w:ind w:left="981" w:right="0" w:firstLine="0"/>
                      <w:jc w:val="left"/>
                      <w:rPr>
                        <w:sz w:val="24"/>
                      </w:rPr>
                    </w:pPr>
                    <w:r>
                      <w:rPr>
                        <w:w w:val="100"/>
                        <w:sz w:val="24"/>
                      </w:rPr>
                      <w:t>0</w:t>
                    </w:r>
                  </w:p>
                  <w:p w14:paraId="3D1B1AF1">
                    <w:pPr>
                      <w:tabs>
                        <w:tab w:val="left" w:pos="1818"/>
                        <w:tab w:val="left" w:pos="2559"/>
                        <w:tab w:val="left" w:pos="3301"/>
                        <w:tab w:val="left" w:pos="4043"/>
                        <w:tab w:val="left" w:pos="4784"/>
                        <w:tab w:val="left" w:pos="5526"/>
                      </w:tabs>
                      <w:spacing w:before="0" w:line="244" w:lineRule="exact"/>
                      <w:ind w:left="1076" w:right="0" w:firstLine="0"/>
                      <w:jc w:val="left"/>
                      <w:rPr>
                        <w:sz w:val="24"/>
                      </w:rPr>
                    </w:pPr>
                    <w:r>
                      <w:rPr>
                        <w:sz w:val="24"/>
                      </w:rPr>
                      <w:t>1992</w:t>
                    </w:r>
                    <w:r>
                      <w:rPr>
                        <w:sz w:val="24"/>
                      </w:rPr>
                      <w:tab/>
                    </w:r>
                    <w:r>
                      <w:rPr>
                        <w:sz w:val="24"/>
                      </w:rPr>
                      <w:t>1994</w:t>
                    </w:r>
                    <w:r>
                      <w:rPr>
                        <w:sz w:val="24"/>
                      </w:rPr>
                      <w:tab/>
                    </w:r>
                    <w:r>
                      <w:rPr>
                        <w:sz w:val="24"/>
                      </w:rPr>
                      <w:t>1996</w:t>
                    </w:r>
                    <w:r>
                      <w:rPr>
                        <w:sz w:val="24"/>
                      </w:rPr>
                      <w:tab/>
                    </w:r>
                    <w:r>
                      <w:rPr>
                        <w:sz w:val="24"/>
                      </w:rPr>
                      <w:t>1998</w:t>
                    </w:r>
                    <w:r>
                      <w:rPr>
                        <w:sz w:val="24"/>
                      </w:rPr>
                      <w:tab/>
                    </w:r>
                    <w:r>
                      <w:rPr>
                        <w:sz w:val="24"/>
                      </w:rPr>
                      <w:t>2000</w:t>
                    </w:r>
                    <w:r>
                      <w:rPr>
                        <w:sz w:val="24"/>
                      </w:rPr>
                      <w:tab/>
                    </w:r>
                    <w:r>
                      <w:rPr>
                        <w:sz w:val="24"/>
                      </w:rPr>
                      <w:t>2002</w:t>
                    </w:r>
                    <w:r>
                      <w:rPr>
                        <w:sz w:val="24"/>
                      </w:rPr>
                      <w:tab/>
                    </w:r>
                    <w:r>
                      <w:rPr>
                        <w:sz w:val="24"/>
                      </w:rPr>
                      <w:t>2004</w:t>
                    </w:r>
                  </w:p>
                </w:txbxContent>
              </v:textbox>
            </v:shape>
            <v:shape id="_x0000_s1207" o:spid="_x0000_s1207" o:spt="202" type="#_x0000_t202" style="position:absolute;left:3408;top:1001;height:324;width:5770;" filled="f" stroked="t" coordsize="21600,21600">
              <v:path/>
              <v:fill on="f" focussize="0,0"/>
              <v:stroke weight="0.139448818897638pt" color="#000000"/>
              <v:imagedata o:title=""/>
              <o:lock v:ext="edit"/>
              <v:textbox inset="0mm,0mm,0mm,0mm">
                <w:txbxContent>
                  <w:p w14:paraId="6C83FF80">
                    <w:pPr>
                      <w:tabs>
                        <w:tab w:val="left" w:pos="1355"/>
                        <w:tab w:val="left" w:pos="2413"/>
                        <w:tab w:val="left" w:pos="3950"/>
                        <w:tab w:val="left" w:pos="4647"/>
                        <w:tab w:val="left" w:pos="5345"/>
                      </w:tabs>
                      <w:spacing w:before="29" w:line="291" w:lineRule="exact"/>
                      <w:ind w:left="298" w:right="0" w:firstLine="0"/>
                      <w:jc w:val="left"/>
                      <w:rPr>
                        <w:sz w:val="24"/>
                      </w:rPr>
                    </w:pPr>
                    <w:r>
                      <w:rPr>
                        <w:sz w:val="24"/>
                      </w:rPr>
                      <w:t>国家股</w:t>
                    </w:r>
                    <w:r>
                      <w:rPr>
                        <w:sz w:val="24"/>
                      </w:rPr>
                      <w:tab/>
                    </w:r>
                    <w:r>
                      <w:rPr>
                        <w:sz w:val="24"/>
                      </w:rPr>
                      <w:t>法人股</w:t>
                    </w:r>
                    <w:r>
                      <w:rPr>
                        <w:sz w:val="24"/>
                      </w:rPr>
                      <w:tab/>
                    </w:r>
                    <w:r>
                      <w:rPr>
                        <w:sz w:val="24"/>
                      </w:rPr>
                      <w:t>内部职工股</w:t>
                    </w:r>
                    <w:r>
                      <w:rPr>
                        <w:sz w:val="24"/>
                      </w:rPr>
                      <w:tab/>
                    </w:r>
                    <w:r>
                      <w:rPr>
                        <w:sz w:val="24"/>
                      </w:rPr>
                      <w:t>A股</w:t>
                    </w:r>
                    <w:r>
                      <w:rPr>
                        <w:sz w:val="24"/>
                      </w:rPr>
                      <w:tab/>
                    </w:r>
                    <w:r>
                      <w:rPr>
                        <w:sz w:val="24"/>
                      </w:rPr>
                      <w:t>B股</w:t>
                    </w:r>
                    <w:r>
                      <w:rPr>
                        <w:sz w:val="24"/>
                      </w:rPr>
                      <w:tab/>
                    </w:r>
                    <w:r>
                      <w:rPr>
                        <w:sz w:val="24"/>
                      </w:rPr>
                      <w:t>H股</w:t>
                    </w:r>
                  </w:p>
                </w:txbxContent>
              </v:textbox>
            </v:shape>
            <w10:wrap type="topAndBottom"/>
          </v:group>
        </w:pict>
      </w:r>
      <w:r>
        <w:rPr>
          <w:spacing w:val="-1"/>
        </w:rPr>
        <w:t>据有关资料披露，</w:t>
      </w:r>
      <w:r>
        <w:rPr>
          <w:rFonts w:ascii="Times New Roman" w:hAnsi="Times New Roman" w:eastAsia="Times New Roman"/>
          <w:spacing w:val="-3"/>
        </w:rPr>
        <w:t>1992-2004</w:t>
      </w:r>
      <w:r>
        <w:rPr>
          <w:spacing w:val="-9"/>
        </w:rPr>
        <w:t>年间，我国资本市场上国家股、法人股和流通股比例的变</w:t>
      </w:r>
      <w:r>
        <w:t>化较为明显，其结果如图</w:t>
      </w:r>
      <w:r>
        <w:rPr>
          <w:rFonts w:ascii="Times New Roman" w:hAnsi="Times New Roman" w:eastAsia="Times New Roman"/>
        </w:rPr>
        <w:t>5</w:t>
      </w:r>
      <w:r>
        <w:t>所示</w:t>
      </w:r>
      <w:r>
        <w:rPr>
          <w:position w:val="9"/>
          <w:sz w:val="12"/>
        </w:rPr>
        <w:t>①</w:t>
      </w:r>
      <w:r>
        <w:t>。</w:t>
      </w:r>
    </w:p>
    <w:p w14:paraId="137E2CDE">
      <w:pPr>
        <w:pStyle w:val="8"/>
        <w:rPr>
          <w:sz w:val="8"/>
        </w:rPr>
      </w:pPr>
    </w:p>
    <w:p w14:paraId="04C9058B">
      <w:pPr>
        <w:tabs>
          <w:tab w:val="left" w:pos="3892"/>
        </w:tabs>
        <w:spacing w:before="74" w:line="297" w:lineRule="auto"/>
        <w:ind w:left="718" w:right="2624" w:firstLine="2570"/>
        <w:jc w:val="left"/>
        <w:rPr>
          <w:sz w:val="24"/>
        </w:rPr>
      </w:pPr>
      <w:r>
        <w:rPr>
          <w:b/>
          <w:sz w:val="24"/>
        </w:rPr>
        <w:t>图</w:t>
      </w:r>
      <w:r>
        <w:rPr>
          <w:rFonts w:ascii="Times New Roman" w:hAnsi="Times New Roman" w:eastAsia="Times New Roman"/>
          <w:b/>
          <w:sz w:val="24"/>
        </w:rPr>
        <w:t>5</w:t>
      </w:r>
      <w:r>
        <w:rPr>
          <w:rFonts w:ascii="Times New Roman" w:hAnsi="Times New Roman" w:eastAsia="Times New Roman"/>
          <w:b/>
          <w:sz w:val="24"/>
        </w:rPr>
        <w:tab/>
      </w:r>
      <w:r>
        <w:rPr>
          <w:b/>
          <w:sz w:val="24"/>
        </w:rPr>
        <w:t>上市公司股权结构变动示意图</w:t>
      </w:r>
      <w:r>
        <w:rPr>
          <w:sz w:val="24"/>
        </w:rPr>
        <w:t>从图</w:t>
      </w:r>
      <w:r>
        <w:rPr>
          <w:spacing w:val="-61"/>
          <w:sz w:val="24"/>
        </w:rPr>
        <w:t xml:space="preserve"> </w:t>
      </w:r>
      <w:r>
        <w:rPr>
          <w:rFonts w:ascii="Times New Roman" w:hAnsi="Times New Roman" w:eastAsia="Times New Roman"/>
          <w:sz w:val="24"/>
        </w:rPr>
        <w:t xml:space="preserve">5 </w:t>
      </w:r>
      <w:r>
        <w:rPr>
          <w:sz w:val="24"/>
        </w:rPr>
        <w:t>可以看出，自</w:t>
      </w:r>
      <w:r>
        <w:rPr>
          <w:spacing w:val="-60"/>
          <w:sz w:val="24"/>
        </w:rPr>
        <w:t xml:space="preserve"> </w:t>
      </w:r>
      <w:r>
        <w:rPr>
          <w:rFonts w:ascii="Times New Roman" w:hAnsi="Times New Roman" w:eastAsia="Times New Roman"/>
          <w:sz w:val="24"/>
        </w:rPr>
        <w:t xml:space="preserve">1992 </w:t>
      </w:r>
      <w:r>
        <w:rPr>
          <w:sz w:val="24"/>
        </w:rPr>
        <w:t xml:space="preserve">年以来流通股比例不断上升……。 </w:t>
      </w:r>
    </w:p>
    <w:p w14:paraId="2ED72BA2">
      <w:pPr>
        <w:pStyle w:val="8"/>
        <w:spacing w:before="10"/>
        <w:ind w:left="718"/>
      </w:pPr>
      <w:r>
        <w:t xml:space="preserve">………… </w:t>
      </w:r>
    </w:p>
    <w:p w14:paraId="0210F1A4">
      <w:pPr>
        <w:pStyle w:val="8"/>
        <w:spacing w:before="75" w:line="292" w:lineRule="auto"/>
        <w:ind w:left="238" w:right="229" w:firstLine="480"/>
        <w:jc w:val="both"/>
      </w:pPr>
      <w:r>
        <w:t>……</w:t>
      </w:r>
      <w:r>
        <w:rPr>
          <w:rFonts w:ascii="Times New Roman" w:hAnsi="Times New Roman" w:eastAsia="Times New Roman"/>
        </w:rPr>
        <w:t>2005</w:t>
      </w:r>
      <w:r>
        <w:t>年与</w:t>
      </w:r>
      <w:r>
        <w:rPr>
          <w:rFonts w:ascii="Times New Roman" w:hAnsi="Times New Roman" w:eastAsia="Times New Roman"/>
        </w:rPr>
        <w:t>2006</w:t>
      </w:r>
      <w:r>
        <w:rPr>
          <w:spacing w:val="-3"/>
        </w:rPr>
        <w:t>年中它们的有效值只是很小一部分，不符合两样本回归的要求，所</w:t>
      </w:r>
      <w:r>
        <w:t>以在进行</w:t>
      </w:r>
      <w:r>
        <w:rPr>
          <w:rFonts w:ascii="Times New Roman" w:hAnsi="Times New Roman" w:eastAsia="Times New Roman"/>
        </w:rPr>
        <w:t>Pearson</w:t>
      </w:r>
      <w:r>
        <w:rPr>
          <w:spacing w:val="-5"/>
        </w:rPr>
        <w:t>相关性分析时未将其考虑在内。主观应计利润与各解释变量之间的关系如</w:t>
      </w:r>
      <w:r>
        <w:t>表</w:t>
      </w:r>
      <w:r>
        <w:rPr>
          <w:rFonts w:ascii="Times New Roman" w:hAnsi="Times New Roman" w:eastAsia="Times New Roman"/>
        </w:rPr>
        <w:t>8</w:t>
      </w:r>
      <w:r>
        <w:t>、表</w:t>
      </w:r>
      <w:r>
        <w:rPr>
          <w:rFonts w:ascii="Times New Roman" w:hAnsi="Times New Roman" w:eastAsia="Times New Roman"/>
        </w:rPr>
        <w:t>9</w:t>
      </w:r>
      <w:r>
        <w:t>所示。</w:t>
      </w:r>
    </w:p>
    <w:p w14:paraId="39FB4743">
      <w:pPr>
        <w:pStyle w:val="7"/>
        <w:tabs>
          <w:tab w:val="left" w:pos="604"/>
        </w:tabs>
        <w:spacing w:after="33" w:line="305" w:lineRule="exact"/>
        <w:ind w:left="2"/>
        <w:jc w:val="center"/>
      </w:pPr>
      <w:r>
        <w:t>表</w:t>
      </w:r>
      <w:r>
        <w:rPr>
          <w:rFonts w:ascii="Times New Roman" w:eastAsia="Times New Roman"/>
        </w:rPr>
        <w:t>8</w:t>
      </w:r>
      <w:r>
        <w:rPr>
          <w:rFonts w:ascii="Times New Roman" w:eastAsia="Times New Roman"/>
        </w:rPr>
        <w:tab/>
      </w:r>
      <w:r>
        <w:rPr>
          <w:rFonts w:ascii="Times New Roman" w:eastAsia="Times New Roman"/>
        </w:rPr>
        <w:t>2005</w:t>
      </w:r>
      <w:r>
        <w:t>年主观应计利润与各解释变量之间的关系表</w:t>
      </w:r>
    </w:p>
    <w:tbl>
      <w:tblPr>
        <w:tblStyle w:val="11"/>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714"/>
        <w:gridCol w:w="1257"/>
        <w:gridCol w:w="1257"/>
        <w:gridCol w:w="1257"/>
        <w:gridCol w:w="1258"/>
        <w:gridCol w:w="1329"/>
      </w:tblGrid>
      <w:tr w14:paraId="59337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017" w:type="dxa"/>
            <w:gridSpan w:val="2"/>
            <w:tcBorders>
              <w:left w:val="nil"/>
            </w:tcBorders>
          </w:tcPr>
          <w:p w14:paraId="2E622828">
            <w:pPr>
              <w:pStyle w:val="15"/>
              <w:spacing w:before="117"/>
              <w:ind w:left="1319" w:right="1293"/>
              <w:rPr>
                <w:rFonts w:hint="eastAsia" w:ascii="宋体" w:eastAsia="宋体"/>
                <w:sz w:val="18"/>
              </w:rPr>
            </w:pPr>
            <w:r>
              <w:rPr>
                <w:rFonts w:hint="eastAsia" w:ascii="宋体" w:eastAsia="宋体"/>
                <w:sz w:val="18"/>
              </w:rPr>
              <w:t>项目</w:t>
            </w:r>
          </w:p>
        </w:tc>
        <w:tc>
          <w:tcPr>
            <w:tcW w:w="1257" w:type="dxa"/>
          </w:tcPr>
          <w:p w14:paraId="62F18927">
            <w:pPr>
              <w:pStyle w:val="15"/>
              <w:spacing w:line="230" w:lineRule="exact"/>
              <w:ind w:left="177"/>
              <w:jc w:val="left"/>
              <w:rPr>
                <w:rFonts w:hint="eastAsia" w:ascii="宋体" w:eastAsia="宋体"/>
                <w:sz w:val="18"/>
              </w:rPr>
            </w:pPr>
            <w:r>
              <w:rPr>
                <w:sz w:val="18"/>
              </w:rPr>
              <w:t>2005</w:t>
            </w:r>
            <w:r>
              <w:rPr>
                <w:rFonts w:hint="eastAsia" w:ascii="宋体" w:eastAsia="宋体"/>
                <w:sz w:val="18"/>
              </w:rPr>
              <w:t>年非主</w:t>
            </w:r>
          </w:p>
          <w:p w14:paraId="20CCBD17">
            <w:pPr>
              <w:pStyle w:val="15"/>
              <w:spacing w:before="2" w:line="215" w:lineRule="exact"/>
              <w:ind w:left="177"/>
              <w:jc w:val="left"/>
              <w:rPr>
                <w:rFonts w:hint="eastAsia" w:ascii="宋体" w:eastAsia="宋体"/>
                <w:sz w:val="18"/>
              </w:rPr>
            </w:pPr>
            <w:r>
              <w:rPr>
                <w:rFonts w:hint="eastAsia" w:ascii="宋体" w:eastAsia="宋体"/>
                <w:sz w:val="18"/>
              </w:rPr>
              <w:t>观应计利润</w:t>
            </w:r>
          </w:p>
        </w:tc>
        <w:tc>
          <w:tcPr>
            <w:tcW w:w="1257" w:type="dxa"/>
          </w:tcPr>
          <w:p w14:paraId="63DA6E70">
            <w:pPr>
              <w:pStyle w:val="15"/>
              <w:spacing w:line="230" w:lineRule="exact"/>
              <w:ind w:left="157" w:right="147"/>
              <w:rPr>
                <w:sz w:val="18"/>
              </w:rPr>
            </w:pPr>
            <w:r>
              <w:rPr>
                <w:rFonts w:hint="eastAsia" w:ascii="宋体" w:eastAsia="宋体"/>
                <w:sz w:val="18"/>
              </w:rPr>
              <w:t>预测的</w:t>
            </w:r>
            <w:r>
              <w:rPr>
                <w:sz w:val="18"/>
              </w:rPr>
              <w:t>2005</w:t>
            </w:r>
          </w:p>
          <w:p w14:paraId="63B4D624">
            <w:pPr>
              <w:pStyle w:val="15"/>
              <w:spacing w:before="2" w:line="215" w:lineRule="exact"/>
              <w:ind w:left="157" w:right="144"/>
              <w:rPr>
                <w:sz w:val="18"/>
              </w:rPr>
            </w:pPr>
            <w:r>
              <w:rPr>
                <w:rFonts w:hint="eastAsia" w:ascii="宋体" w:eastAsia="宋体"/>
                <w:sz w:val="18"/>
              </w:rPr>
              <w:t>年</w:t>
            </w:r>
            <w:r>
              <w:rPr>
                <w:sz w:val="18"/>
              </w:rPr>
              <w:t>EPS</w:t>
            </w:r>
          </w:p>
        </w:tc>
        <w:tc>
          <w:tcPr>
            <w:tcW w:w="1257" w:type="dxa"/>
          </w:tcPr>
          <w:p w14:paraId="01EC5742">
            <w:pPr>
              <w:pStyle w:val="15"/>
              <w:spacing w:line="230" w:lineRule="exact"/>
              <w:ind w:left="157" w:right="148"/>
              <w:rPr>
                <w:rFonts w:hint="eastAsia" w:ascii="宋体" w:eastAsia="宋体"/>
                <w:sz w:val="18"/>
              </w:rPr>
            </w:pPr>
            <w:r>
              <w:rPr>
                <w:sz w:val="18"/>
              </w:rPr>
              <w:t>2005</w:t>
            </w:r>
            <w:r>
              <w:rPr>
                <w:rFonts w:hint="eastAsia" w:ascii="宋体" w:eastAsia="宋体"/>
                <w:sz w:val="18"/>
              </w:rPr>
              <w:t>年权益</w:t>
            </w:r>
          </w:p>
          <w:p w14:paraId="05F97740">
            <w:pPr>
              <w:pStyle w:val="15"/>
              <w:spacing w:before="2" w:line="215" w:lineRule="exact"/>
              <w:ind w:left="157" w:right="148"/>
              <w:rPr>
                <w:rFonts w:hint="eastAsia" w:ascii="宋体" w:eastAsia="宋体"/>
                <w:sz w:val="18"/>
              </w:rPr>
            </w:pPr>
            <w:r>
              <w:rPr>
                <w:rFonts w:hint="eastAsia" w:ascii="宋体" w:eastAsia="宋体"/>
                <w:sz w:val="18"/>
              </w:rPr>
              <w:t>乘数</w:t>
            </w:r>
          </w:p>
        </w:tc>
        <w:tc>
          <w:tcPr>
            <w:tcW w:w="1258" w:type="dxa"/>
          </w:tcPr>
          <w:p w14:paraId="3629F0E3">
            <w:pPr>
              <w:pStyle w:val="15"/>
              <w:spacing w:line="230" w:lineRule="exact"/>
              <w:ind w:left="179"/>
              <w:jc w:val="left"/>
              <w:rPr>
                <w:rFonts w:hint="eastAsia" w:ascii="宋体" w:eastAsia="宋体"/>
                <w:sz w:val="18"/>
              </w:rPr>
            </w:pPr>
            <w:r>
              <w:rPr>
                <w:sz w:val="18"/>
              </w:rPr>
              <w:t>2005</w:t>
            </w:r>
            <w:r>
              <w:rPr>
                <w:rFonts w:hint="eastAsia" w:ascii="宋体" w:eastAsia="宋体"/>
                <w:sz w:val="18"/>
              </w:rPr>
              <w:t>年国有</w:t>
            </w:r>
          </w:p>
          <w:p w14:paraId="0F4A8B0F">
            <w:pPr>
              <w:pStyle w:val="15"/>
              <w:spacing w:before="2" w:line="215" w:lineRule="exact"/>
              <w:ind w:left="179"/>
              <w:jc w:val="left"/>
              <w:rPr>
                <w:rFonts w:hint="eastAsia" w:ascii="宋体" w:eastAsia="宋体"/>
                <w:sz w:val="18"/>
              </w:rPr>
            </w:pPr>
            <w:r>
              <w:rPr>
                <w:rFonts w:hint="eastAsia" w:ascii="宋体" w:eastAsia="宋体"/>
                <w:sz w:val="18"/>
              </w:rPr>
              <w:t>股持股比例</w:t>
            </w:r>
          </w:p>
        </w:tc>
        <w:tc>
          <w:tcPr>
            <w:tcW w:w="1329" w:type="dxa"/>
            <w:tcBorders>
              <w:right w:val="nil"/>
            </w:tcBorders>
          </w:tcPr>
          <w:p w14:paraId="2DCF1D68">
            <w:pPr>
              <w:pStyle w:val="15"/>
              <w:spacing w:line="230" w:lineRule="exact"/>
              <w:ind w:left="108" w:right="95"/>
              <w:rPr>
                <w:rFonts w:hint="eastAsia" w:ascii="宋体" w:eastAsia="宋体"/>
                <w:sz w:val="18"/>
              </w:rPr>
            </w:pPr>
            <w:r>
              <w:rPr>
                <w:sz w:val="18"/>
              </w:rPr>
              <w:t>2005</w:t>
            </w:r>
            <w:r>
              <w:rPr>
                <w:rFonts w:hint="eastAsia" w:ascii="宋体" w:eastAsia="宋体"/>
                <w:sz w:val="18"/>
              </w:rPr>
              <w:t>年高管持</w:t>
            </w:r>
          </w:p>
          <w:p w14:paraId="76D6C2CC">
            <w:pPr>
              <w:pStyle w:val="15"/>
              <w:spacing w:before="2" w:line="215" w:lineRule="exact"/>
              <w:ind w:left="103" w:right="95"/>
              <w:rPr>
                <w:rFonts w:hint="eastAsia" w:ascii="宋体" w:eastAsia="宋体"/>
                <w:sz w:val="18"/>
              </w:rPr>
            </w:pPr>
            <w:r>
              <w:rPr>
                <w:rFonts w:hint="eastAsia" w:ascii="宋体" w:eastAsia="宋体"/>
                <w:sz w:val="18"/>
              </w:rPr>
              <w:t>股比例</w:t>
            </w:r>
          </w:p>
        </w:tc>
      </w:tr>
      <w:tr w14:paraId="09BD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303" w:type="dxa"/>
            <w:tcBorders>
              <w:left w:val="nil"/>
            </w:tcBorders>
          </w:tcPr>
          <w:p w14:paraId="2AE521A9">
            <w:pPr>
              <w:pStyle w:val="15"/>
              <w:spacing w:before="5"/>
              <w:jc w:val="left"/>
              <w:rPr>
                <w:rFonts w:ascii="宋体"/>
                <w:b/>
                <w:sz w:val="19"/>
              </w:rPr>
            </w:pPr>
          </w:p>
          <w:p w14:paraId="25E3487D">
            <w:pPr>
              <w:pStyle w:val="15"/>
              <w:spacing w:before="1" w:line="242" w:lineRule="auto"/>
              <w:ind w:left="213" w:right="180"/>
              <w:jc w:val="left"/>
              <w:rPr>
                <w:rFonts w:hint="eastAsia" w:ascii="宋体" w:eastAsia="宋体"/>
                <w:sz w:val="18"/>
              </w:rPr>
            </w:pPr>
            <w:r>
              <w:rPr>
                <w:sz w:val="18"/>
              </w:rPr>
              <w:t>2005</w:t>
            </w:r>
            <w:r>
              <w:rPr>
                <w:rFonts w:hint="eastAsia" w:ascii="宋体" w:eastAsia="宋体"/>
                <w:sz w:val="18"/>
              </w:rPr>
              <w:t>年非主观应计利润</w:t>
            </w:r>
          </w:p>
        </w:tc>
        <w:tc>
          <w:tcPr>
            <w:tcW w:w="1714" w:type="dxa"/>
          </w:tcPr>
          <w:p w14:paraId="6FC200A5">
            <w:pPr>
              <w:pStyle w:val="15"/>
              <w:spacing w:before="131"/>
              <w:ind w:left="18" w:right="7"/>
              <w:rPr>
                <w:rFonts w:hint="eastAsia" w:ascii="宋体" w:eastAsia="宋体"/>
                <w:sz w:val="18"/>
              </w:rPr>
            </w:pPr>
            <w:r>
              <w:rPr>
                <w:sz w:val="18"/>
              </w:rPr>
              <w:t>Pearson</w:t>
            </w:r>
            <w:r>
              <w:rPr>
                <w:rFonts w:hint="eastAsia" w:ascii="宋体" w:eastAsia="宋体"/>
                <w:sz w:val="18"/>
              </w:rPr>
              <w:t>相关性</w:t>
            </w:r>
          </w:p>
          <w:p w14:paraId="609068BE">
            <w:pPr>
              <w:pStyle w:val="15"/>
              <w:spacing w:before="3" w:line="244" w:lineRule="auto"/>
              <w:ind w:left="107" w:right="7"/>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6"/>
                <w:sz w:val="18"/>
              </w:rPr>
              <w:t xml:space="preserve">） </w:t>
            </w:r>
            <w:r>
              <w:rPr>
                <w:rFonts w:hint="eastAsia" w:ascii="宋体" w:eastAsia="宋体"/>
                <w:sz w:val="18"/>
              </w:rPr>
              <w:t>个数</w:t>
            </w:r>
          </w:p>
        </w:tc>
        <w:tc>
          <w:tcPr>
            <w:tcW w:w="1257" w:type="dxa"/>
          </w:tcPr>
          <w:p w14:paraId="3594E4DA">
            <w:pPr>
              <w:pStyle w:val="15"/>
              <w:spacing w:before="172"/>
              <w:ind w:left="157" w:right="148"/>
              <w:rPr>
                <w:sz w:val="18"/>
              </w:rPr>
            </w:pPr>
            <w:r>
              <w:rPr>
                <w:sz w:val="18"/>
              </w:rPr>
              <w:t>1.000</w:t>
            </w:r>
          </w:p>
          <w:p w14:paraId="3A147A9A">
            <w:pPr>
              <w:pStyle w:val="15"/>
              <w:spacing w:before="1"/>
              <w:jc w:val="left"/>
              <w:rPr>
                <w:rFonts w:ascii="宋体"/>
                <w:b/>
                <w:sz w:val="16"/>
              </w:rPr>
            </w:pPr>
          </w:p>
          <w:p w14:paraId="10E142E6">
            <w:pPr>
              <w:pStyle w:val="15"/>
              <w:ind w:left="157" w:right="146"/>
              <w:rPr>
                <w:sz w:val="18"/>
              </w:rPr>
            </w:pPr>
            <w:r>
              <w:rPr>
                <w:sz w:val="18"/>
              </w:rPr>
              <w:t>1018</w:t>
            </w:r>
          </w:p>
        </w:tc>
        <w:tc>
          <w:tcPr>
            <w:tcW w:w="1257" w:type="dxa"/>
          </w:tcPr>
          <w:p w14:paraId="0BCA7B47">
            <w:pPr>
              <w:pStyle w:val="15"/>
              <w:spacing w:before="172" w:line="207" w:lineRule="exact"/>
              <w:ind w:left="157" w:right="145"/>
              <w:rPr>
                <w:sz w:val="18"/>
              </w:rPr>
            </w:pPr>
            <w:r>
              <w:rPr>
                <w:sz w:val="18"/>
              </w:rPr>
              <w:t>0.198**</w:t>
            </w:r>
          </w:p>
          <w:p w14:paraId="1E47875E">
            <w:pPr>
              <w:pStyle w:val="15"/>
              <w:spacing w:line="206" w:lineRule="exact"/>
              <w:ind w:left="157" w:right="147"/>
              <w:rPr>
                <w:sz w:val="18"/>
              </w:rPr>
            </w:pPr>
            <w:r>
              <w:rPr>
                <w:sz w:val="18"/>
              </w:rPr>
              <w:t>0.000</w:t>
            </w:r>
          </w:p>
          <w:p w14:paraId="767FFA52">
            <w:pPr>
              <w:pStyle w:val="15"/>
              <w:spacing w:line="207" w:lineRule="exact"/>
              <w:ind w:left="157" w:right="145"/>
              <w:rPr>
                <w:sz w:val="18"/>
              </w:rPr>
            </w:pPr>
            <w:r>
              <w:rPr>
                <w:sz w:val="18"/>
              </w:rPr>
              <w:t>1018</w:t>
            </w:r>
          </w:p>
        </w:tc>
        <w:tc>
          <w:tcPr>
            <w:tcW w:w="1257" w:type="dxa"/>
          </w:tcPr>
          <w:p w14:paraId="296E9ACD">
            <w:pPr>
              <w:pStyle w:val="15"/>
              <w:spacing w:before="172"/>
              <w:ind w:left="349" w:right="337"/>
              <w:rPr>
                <w:sz w:val="18"/>
              </w:rPr>
            </w:pPr>
            <w:r>
              <w:rPr>
                <w:sz w:val="18"/>
              </w:rPr>
              <w:t>-0.073* 0.020</w:t>
            </w:r>
          </w:p>
          <w:p w14:paraId="1A3011FC">
            <w:pPr>
              <w:pStyle w:val="15"/>
              <w:spacing w:line="206" w:lineRule="exact"/>
              <w:ind w:left="157" w:right="147"/>
              <w:rPr>
                <w:sz w:val="18"/>
              </w:rPr>
            </w:pPr>
            <w:r>
              <w:rPr>
                <w:sz w:val="18"/>
              </w:rPr>
              <w:t>1018</w:t>
            </w:r>
          </w:p>
        </w:tc>
        <w:tc>
          <w:tcPr>
            <w:tcW w:w="1258" w:type="dxa"/>
          </w:tcPr>
          <w:p w14:paraId="008C5382">
            <w:pPr>
              <w:pStyle w:val="15"/>
              <w:spacing w:before="172"/>
              <w:ind w:left="307" w:right="292"/>
              <w:rPr>
                <w:sz w:val="18"/>
              </w:rPr>
            </w:pPr>
            <w:r>
              <w:rPr>
                <w:sz w:val="18"/>
              </w:rPr>
              <w:t>-0.105**</w:t>
            </w:r>
            <w:r>
              <w:rPr>
                <w:w w:val="99"/>
                <w:sz w:val="18"/>
              </w:rPr>
              <w:t xml:space="preserve"> </w:t>
            </w:r>
            <w:r>
              <w:rPr>
                <w:sz w:val="18"/>
              </w:rPr>
              <w:t>0.000</w:t>
            </w:r>
          </w:p>
          <w:p w14:paraId="1F0549F5">
            <w:pPr>
              <w:pStyle w:val="15"/>
              <w:spacing w:line="206" w:lineRule="exact"/>
              <w:ind w:left="307" w:right="292"/>
              <w:rPr>
                <w:sz w:val="18"/>
              </w:rPr>
            </w:pPr>
            <w:r>
              <w:rPr>
                <w:sz w:val="18"/>
              </w:rPr>
              <w:t>1018</w:t>
            </w:r>
          </w:p>
        </w:tc>
        <w:tc>
          <w:tcPr>
            <w:tcW w:w="1329" w:type="dxa"/>
            <w:tcBorders>
              <w:right w:val="nil"/>
            </w:tcBorders>
          </w:tcPr>
          <w:p w14:paraId="4753FAE6">
            <w:pPr>
              <w:pStyle w:val="15"/>
              <w:spacing w:before="172"/>
              <w:ind w:left="343" w:right="332"/>
              <w:rPr>
                <w:sz w:val="18"/>
              </w:rPr>
            </w:pPr>
            <w:r>
              <w:rPr>
                <w:sz w:val="18"/>
              </w:rPr>
              <w:t>-0.207**</w:t>
            </w:r>
            <w:r>
              <w:rPr>
                <w:w w:val="99"/>
                <w:sz w:val="18"/>
              </w:rPr>
              <w:t xml:space="preserve"> </w:t>
            </w:r>
            <w:r>
              <w:rPr>
                <w:sz w:val="18"/>
              </w:rPr>
              <w:t>0.002</w:t>
            </w:r>
          </w:p>
          <w:p w14:paraId="4969C21F">
            <w:pPr>
              <w:pStyle w:val="15"/>
              <w:spacing w:line="206" w:lineRule="exact"/>
              <w:ind w:left="104" w:right="95"/>
              <w:rPr>
                <w:sz w:val="18"/>
              </w:rPr>
            </w:pPr>
            <w:r>
              <w:rPr>
                <w:sz w:val="18"/>
              </w:rPr>
              <w:t>219</w:t>
            </w:r>
          </w:p>
        </w:tc>
      </w:tr>
    </w:tbl>
    <w:p w14:paraId="6E065DE1">
      <w:pPr>
        <w:pStyle w:val="8"/>
        <w:rPr>
          <w:b/>
          <w:sz w:val="20"/>
        </w:rPr>
      </w:pPr>
    </w:p>
    <w:p w14:paraId="29F09870">
      <w:pPr>
        <w:pStyle w:val="8"/>
        <w:rPr>
          <w:b/>
          <w:sz w:val="20"/>
        </w:rPr>
      </w:pPr>
    </w:p>
    <w:p w14:paraId="2DEFF76B">
      <w:pPr>
        <w:pStyle w:val="8"/>
        <w:spacing w:before="2"/>
        <w:rPr>
          <w:b/>
          <w:sz w:val="21"/>
        </w:rPr>
      </w:pPr>
      <w:r>
        <w:pict>
          <v:line id="_x0000_s1208" o:spid="_x0000_s1208" o:spt="20" style="position:absolute;left:0pt;margin-left:70.9pt;margin-top:15.75pt;height:0pt;width:144pt;mso-position-horizontal-relative:page;mso-wrap-distance-bottom:0pt;mso-wrap-distance-top:0pt;z-index:-251638784;mso-width-relative:page;mso-height-relative:page;" stroked="t" coordsize="21600,21600">
            <v:path arrowok="t"/>
            <v:fill focussize="0,0"/>
            <v:stroke weight="0.48pt" color="#000000"/>
            <v:imagedata o:title=""/>
            <o:lock v:ext="edit"/>
            <w10:wrap type="topAndBottom"/>
          </v:line>
        </w:pict>
      </w:r>
    </w:p>
    <w:p w14:paraId="4B3C65BC">
      <w:pPr>
        <w:spacing w:before="62"/>
        <w:ind w:left="238" w:right="0" w:firstLine="0"/>
        <w:jc w:val="left"/>
        <w:rPr>
          <w:sz w:val="18"/>
        </w:rPr>
      </w:pPr>
      <w:r>
        <w:rPr>
          <w:position w:val="6"/>
          <w:sz w:val="9"/>
        </w:rPr>
        <w:t xml:space="preserve">① </w:t>
      </w:r>
      <w:r>
        <w:rPr>
          <w:sz w:val="18"/>
        </w:rPr>
        <w:t>郑明．十多年来中国资</w:t>
      </w:r>
      <w:bookmarkStart w:id="8" w:name="_GoBack"/>
      <w:bookmarkEnd w:id="8"/>
      <w:r>
        <w:rPr>
          <w:sz w:val="18"/>
        </w:rPr>
        <w:t>本市场的基本走势分析</w:t>
      </w:r>
      <w:r>
        <w:rPr>
          <w:rFonts w:ascii="Times New Roman" w:hAnsi="Times New Roman" w:eastAsia="Times New Roman"/>
          <w:sz w:val="18"/>
        </w:rPr>
        <w:t>[N]</w:t>
      </w:r>
      <w:r>
        <w:rPr>
          <w:sz w:val="18"/>
        </w:rPr>
        <w:t>．中国证券报，</w:t>
      </w:r>
      <w:r>
        <w:rPr>
          <w:rFonts w:ascii="Times New Roman" w:hAnsi="Times New Roman" w:eastAsia="Times New Roman"/>
          <w:sz w:val="18"/>
        </w:rPr>
        <w:t>2005-01-28</w:t>
      </w:r>
      <w:r>
        <w:rPr>
          <w:sz w:val="18"/>
        </w:rPr>
        <w:t>（</w:t>
      </w:r>
      <w:r>
        <w:rPr>
          <w:rFonts w:ascii="Times New Roman" w:hAnsi="Times New Roman" w:eastAsia="Times New Roman"/>
          <w:sz w:val="18"/>
        </w:rPr>
        <w:t>8</w:t>
      </w:r>
      <w:r>
        <w:rPr>
          <w:sz w:val="18"/>
        </w:rPr>
        <w:t>）．</w:t>
      </w:r>
    </w:p>
    <w:p w14:paraId="5232C9A9">
      <w:pPr>
        <w:spacing w:after="0"/>
        <w:jc w:val="left"/>
        <w:rPr>
          <w:sz w:val="18"/>
        </w:rPr>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14:paraId="2D8507E5">
      <w:pPr>
        <w:pStyle w:val="8"/>
        <w:spacing w:before="1"/>
        <w:rPr>
          <w:sz w:val="8"/>
        </w:rPr>
      </w:pPr>
    </w:p>
    <w:tbl>
      <w:tblPr>
        <w:tblStyle w:val="11"/>
        <w:tblW w:w="0" w:type="auto"/>
        <w:tblInd w:w="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1714"/>
        <w:gridCol w:w="1257"/>
        <w:gridCol w:w="1257"/>
        <w:gridCol w:w="1257"/>
        <w:gridCol w:w="1258"/>
        <w:gridCol w:w="1353"/>
      </w:tblGrid>
      <w:tr w14:paraId="66D8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027" w:type="dxa"/>
            <w:gridSpan w:val="2"/>
            <w:tcBorders>
              <w:left w:val="nil"/>
            </w:tcBorders>
          </w:tcPr>
          <w:p w14:paraId="5A92E908">
            <w:pPr>
              <w:pStyle w:val="15"/>
              <w:spacing w:before="117"/>
              <w:ind w:left="1328" w:right="1293"/>
              <w:rPr>
                <w:rFonts w:hint="eastAsia" w:ascii="宋体" w:eastAsia="宋体"/>
                <w:sz w:val="18"/>
              </w:rPr>
            </w:pPr>
            <w:r>
              <w:rPr>
                <w:rFonts w:hint="eastAsia" w:ascii="宋体" w:eastAsia="宋体"/>
                <w:sz w:val="18"/>
              </w:rPr>
              <w:t>项目</w:t>
            </w:r>
          </w:p>
        </w:tc>
        <w:tc>
          <w:tcPr>
            <w:tcW w:w="1257" w:type="dxa"/>
          </w:tcPr>
          <w:p w14:paraId="4AC8266E">
            <w:pPr>
              <w:pStyle w:val="15"/>
              <w:spacing w:line="230" w:lineRule="exact"/>
              <w:ind w:left="177"/>
              <w:jc w:val="left"/>
              <w:rPr>
                <w:rFonts w:hint="eastAsia" w:ascii="宋体" w:eastAsia="宋体"/>
                <w:sz w:val="18"/>
              </w:rPr>
            </w:pPr>
            <w:r>
              <w:rPr>
                <w:sz w:val="18"/>
              </w:rPr>
              <w:t>2005</w:t>
            </w:r>
            <w:r>
              <w:rPr>
                <w:rFonts w:hint="eastAsia" w:ascii="宋体" w:eastAsia="宋体"/>
                <w:sz w:val="18"/>
              </w:rPr>
              <w:t>年非主</w:t>
            </w:r>
          </w:p>
          <w:p w14:paraId="75729EE0">
            <w:pPr>
              <w:pStyle w:val="15"/>
              <w:spacing w:before="2" w:line="213" w:lineRule="exact"/>
              <w:ind w:left="177"/>
              <w:jc w:val="left"/>
              <w:rPr>
                <w:rFonts w:hint="eastAsia" w:ascii="宋体" w:eastAsia="宋体"/>
                <w:sz w:val="18"/>
              </w:rPr>
            </w:pPr>
            <w:r>
              <w:rPr>
                <w:rFonts w:hint="eastAsia" w:ascii="宋体" w:eastAsia="宋体"/>
                <w:sz w:val="18"/>
              </w:rPr>
              <w:t>观应计利润</w:t>
            </w:r>
          </w:p>
        </w:tc>
        <w:tc>
          <w:tcPr>
            <w:tcW w:w="1257" w:type="dxa"/>
          </w:tcPr>
          <w:p w14:paraId="7A6E4B81">
            <w:pPr>
              <w:pStyle w:val="15"/>
              <w:spacing w:line="230" w:lineRule="exact"/>
              <w:ind w:left="157" w:right="147"/>
              <w:rPr>
                <w:sz w:val="18"/>
              </w:rPr>
            </w:pPr>
            <w:r>
              <w:rPr>
                <w:rFonts w:hint="eastAsia" w:ascii="宋体" w:eastAsia="宋体"/>
                <w:sz w:val="18"/>
              </w:rPr>
              <w:t>预测的</w:t>
            </w:r>
            <w:r>
              <w:rPr>
                <w:sz w:val="18"/>
              </w:rPr>
              <w:t>2005</w:t>
            </w:r>
          </w:p>
          <w:p w14:paraId="5D080B05">
            <w:pPr>
              <w:pStyle w:val="15"/>
              <w:spacing w:before="2" w:line="213" w:lineRule="exact"/>
              <w:ind w:left="157" w:right="145"/>
              <w:rPr>
                <w:sz w:val="18"/>
              </w:rPr>
            </w:pPr>
            <w:r>
              <w:rPr>
                <w:rFonts w:hint="eastAsia" w:ascii="宋体" w:eastAsia="宋体"/>
                <w:sz w:val="18"/>
              </w:rPr>
              <w:t>年</w:t>
            </w:r>
            <w:r>
              <w:rPr>
                <w:sz w:val="18"/>
              </w:rPr>
              <w:t>EPS</w:t>
            </w:r>
          </w:p>
        </w:tc>
        <w:tc>
          <w:tcPr>
            <w:tcW w:w="1257" w:type="dxa"/>
          </w:tcPr>
          <w:p w14:paraId="5755F21C">
            <w:pPr>
              <w:pStyle w:val="15"/>
              <w:spacing w:line="230" w:lineRule="exact"/>
              <w:ind w:left="156" w:right="148"/>
              <w:rPr>
                <w:rFonts w:hint="eastAsia" w:ascii="宋体" w:eastAsia="宋体"/>
                <w:sz w:val="18"/>
              </w:rPr>
            </w:pPr>
            <w:r>
              <w:rPr>
                <w:sz w:val="18"/>
              </w:rPr>
              <w:t>2005</w:t>
            </w:r>
            <w:r>
              <w:rPr>
                <w:rFonts w:hint="eastAsia" w:ascii="宋体" w:eastAsia="宋体"/>
                <w:sz w:val="18"/>
              </w:rPr>
              <w:t>年权益</w:t>
            </w:r>
          </w:p>
          <w:p w14:paraId="1D8119F2">
            <w:pPr>
              <w:pStyle w:val="15"/>
              <w:spacing w:before="2" w:line="213" w:lineRule="exact"/>
              <w:ind w:left="156" w:right="148"/>
              <w:rPr>
                <w:rFonts w:hint="eastAsia" w:ascii="宋体" w:eastAsia="宋体"/>
                <w:sz w:val="18"/>
              </w:rPr>
            </w:pPr>
            <w:r>
              <w:rPr>
                <w:rFonts w:hint="eastAsia" w:ascii="宋体" w:eastAsia="宋体"/>
                <w:sz w:val="18"/>
              </w:rPr>
              <w:t>乘数</w:t>
            </w:r>
          </w:p>
        </w:tc>
        <w:tc>
          <w:tcPr>
            <w:tcW w:w="1258" w:type="dxa"/>
          </w:tcPr>
          <w:p w14:paraId="59572A22">
            <w:pPr>
              <w:pStyle w:val="15"/>
              <w:spacing w:line="230" w:lineRule="exact"/>
              <w:ind w:left="179"/>
              <w:jc w:val="left"/>
              <w:rPr>
                <w:rFonts w:hint="eastAsia" w:ascii="宋体" w:eastAsia="宋体"/>
                <w:sz w:val="18"/>
              </w:rPr>
            </w:pPr>
            <w:r>
              <w:rPr>
                <w:sz w:val="18"/>
              </w:rPr>
              <w:t>2005</w:t>
            </w:r>
            <w:r>
              <w:rPr>
                <w:rFonts w:hint="eastAsia" w:ascii="宋体" w:eastAsia="宋体"/>
                <w:sz w:val="18"/>
              </w:rPr>
              <w:t>年国有</w:t>
            </w:r>
          </w:p>
          <w:p w14:paraId="4F11DA02">
            <w:pPr>
              <w:pStyle w:val="15"/>
              <w:spacing w:before="2" w:line="213" w:lineRule="exact"/>
              <w:ind w:left="179"/>
              <w:jc w:val="left"/>
              <w:rPr>
                <w:rFonts w:hint="eastAsia" w:ascii="宋体" w:eastAsia="宋体"/>
                <w:sz w:val="18"/>
              </w:rPr>
            </w:pPr>
            <w:r>
              <w:rPr>
                <w:rFonts w:hint="eastAsia" w:ascii="宋体" w:eastAsia="宋体"/>
                <w:sz w:val="18"/>
              </w:rPr>
              <w:t>股持股比例</w:t>
            </w:r>
          </w:p>
        </w:tc>
        <w:tc>
          <w:tcPr>
            <w:tcW w:w="1353" w:type="dxa"/>
            <w:tcBorders>
              <w:right w:val="nil"/>
            </w:tcBorders>
          </w:tcPr>
          <w:p w14:paraId="15EE5AA7">
            <w:pPr>
              <w:pStyle w:val="15"/>
              <w:spacing w:line="230" w:lineRule="exact"/>
              <w:ind w:left="109" w:right="118"/>
              <w:rPr>
                <w:rFonts w:hint="eastAsia" w:ascii="宋体" w:eastAsia="宋体"/>
                <w:sz w:val="18"/>
              </w:rPr>
            </w:pPr>
            <w:r>
              <w:rPr>
                <w:sz w:val="18"/>
              </w:rPr>
              <w:t>2005</w:t>
            </w:r>
            <w:r>
              <w:rPr>
                <w:rFonts w:hint="eastAsia" w:ascii="宋体" w:eastAsia="宋体"/>
                <w:sz w:val="18"/>
              </w:rPr>
              <w:t>年高管持</w:t>
            </w:r>
          </w:p>
          <w:p w14:paraId="0BC47193">
            <w:pPr>
              <w:pStyle w:val="15"/>
              <w:spacing w:before="2" w:line="213" w:lineRule="exact"/>
              <w:ind w:left="104" w:right="118"/>
              <w:rPr>
                <w:rFonts w:hint="eastAsia" w:ascii="宋体" w:eastAsia="宋体"/>
                <w:sz w:val="18"/>
              </w:rPr>
            </w:pPr>
            <w:r>
              <w:rPr>
                <w:rFonts w:hint="eastAsia" w:ascii="宋体" w:eastAsia="宋体"/>
                <w:sz w:val="18"/>
              </w:rPr>
              <w:t>股比例</w:t>
            </w:r>
          </w:p>
        </w:tc>
      </w:tr>
      <w:tr w14:paraId="6CE5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313" w:type="dxa"/>
            <w:tcBorders>
              <w:left w:val="nil"/>
            </w:tcBorders>
          </w:tcPr>
          <w:p w14:paraId="256F3DF6">
            <w:pPr>
              <w:pStyle w:val="15"/>
              <w:spacing w:before="5"/>
              <w:jc w:val="left"/>
              <w:rPr>
                <w:rFonts w:ascii="宋体"/>
                <w:sz w:val="19"/>
              </w:rPr>
            </w:pPr>
          </w:p>
          <w:p w14:paraId="7D3F6077">
            <w:pPr>
              <w:pStyle w:val="15"/>
              <w:spacing w:before="1" w:line="244" w:lineRule="auto"/>
              <w:ind w:left="427" w:right="181" w:hanging="204"/>
              <w:jc w:val="left"/>
              <w:rPr>
                <w:sz w:val="18"/>
              </w:rPr>
            </w:pPr>
            <w:r>
              <w:rPr>
                <w:rFonts w:hint="eastAsia" w:ascii="宋体" w:eastAsia="宋体"/>
                <w:sz w:val="18"/>
              </w:rPr>
              <w:t>预测的</w:t>
            </w:r>
            <w:r>
              <w:rPr>
                <w:sz w:val="18"/>
              </w:rPr>
              <w:t xml:space="preserve">2005 </w:t>
            </w:r>
            <w:r>
              <w:rPr>
                <w:rFonts w:hint="eastAsia" w:ascii="宋体" w:eastAsia="宋体"/>
                <w:sz w:val="18"/>
              </w:rPr>
              <w:t>年</w:t>
            </w:r>
            <w:r>
              <w:rPr>
                <w:sz w:val="18"/>
              </w:rPr>
              <w:t>EPS</w:t>
            </w:r>
          </w:p>
        </w:tc>
        <w:tc>
          <w:tcPr>
            <w:tcW w:w="1714" w:type="dxa"/>
          </w:tcPr>
          <w:p w14:paraId="0AF68715">
            <w:pPr>
              <w:pStyle w:val="15"/>
              <w:spacing w:before="134"/>
              <w:ind w:left="18" w:right="7"/>
              <w:rPr>
                <w:rFonts w:hint="eastAsia" w:ascii="宋体" w:eastAsia="宋体"/>
                <w:sz w:val="18"/>
              </w:rPr>
            </w:pPr>
            <w:r>
              <w:rPr>
                <w:sz w:val="18"/>
              </w:rPr>
              <w:t>Pearson</w:t>
            </w:r>
            <w:r>
              <w:rPr>
                <w:rFonts w:hint="eastAsia" w:ascii="宋体" w:eastAsia="宋体"/>
                <w:sz w:val="18"/>
              </w:rPr>
              <w:t>相关性</w:t>
            </w:r>
          </w:p>
          <w:p w14:paraId="5C571AF4">
            <w:pPr>
              <w:pStyle w:val="15"/>
              <w:spacing w:before="2" w:line="242"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Pr>
          <w:p w14:paraId="24DA4910">
            <w:pPr>
              <w:pStyle w:val="15"/>
              <w:spacing w:before="172"/>
              <w:ind w:left="157" w:right="147"/>
              <w:rPr>
                <w:sz w:val="18"/>
              </w:rPr>
            </w:pPr>
            <w:r>
              <w:rPr>
                <w:sz w:val="18"/>
              </w:rPr>
              <w:t>0.198**</w:t>
            </w:r>
          </w:p>
          <w:p w14:paraId="0B1B0E80">
            <w:pPr>
              <w:pStyle w:val="15"/>
              <w:spacing w:before="2" w:line="207" w:lineRule="exact"/>
              <w:ind w:left="156" w:right="148"/>
              <w:rPr>
                <w:sz w:val="18"/>
              </w:rPr>
            </w:pPr>
            <w:r>
              <w:rPr>
                <w:sz w:val="18"/>
              </w:rPr>
              <w:t>0.000</w:t>
            </w:r>
          </w:p>
          <w:p w14:paraId="055C01E7">
            <w:pPr>
              <w:pStyle w:val="15"/>
              <w:spacing w:line="207" w:lineRule="exact"/>
              <w:ind w:left="157" w:right="147"/>
              <w:rPr>
                <w:sz w:val="18"/>
              </w:rPr>
            </w:pPr>
            <w:r>
              <w:rPr>
                <w:sz w:val="18"/>
              </w:rPr>
              <w:t>1018</w:t>
            </w:r>
          </w:p>
        </w:tc>
        <w:tc>
          <w:tcPr>
            <w:tcW w:w="1257" w:type="dxa"/>
          </w:tcPr>
          <w:p w14:paraId="30D0E9ED">
            <w:pPr>
              <w:pStyle w:val="15"/>
              <w:spacing w:before="172"/>
              <w:ind w:left="157" w:right="148"/>
              <w:rPr>
                <w:sz w:val="18"/>
              </w:rPr>
            </w:pPr>
            <w:r>
              <w:rPr>
                <w:sz w:val="18"/>
              </w:rPr>
              <w:t>1.000</w:t>
            </w:r>
          </w:p>
          <w:p w14:paraId="52EB1770">
            <w:pPr>
              <w:pStyle w:val="15"/>
              <w:spacing w:before="3"/>
              <w:jc w:val="left"/>
              <w:rPr>
                <w:rFonts w:ascii="宋体"/>
                <w:sz w:val="16"/>
              </w:rPr>
            </w:pPr>
          </w:p>
          <w:p w14:paraId="3187DDA7">
            <w:pPr>
              <w:pStyle w:val="15"/>
              <w:ind w:left="157" w:right="145"/>
              <w:rPr>
                <w:sz w:val="18"/>
              </w:rPr>
            </w:pPr>
            <w:r>
              <w:rPr>
                <w:sz w:val="18"/>
              </w:rPr>
              <w:t>1018</w:t>
            </w:r>
          </w:p>
        </w:tc>
        <w:tc>
          <w:tcPr>
            <w:tcW w:w="1257" w:type="dxa"/>
          </w:tcPr>
          <w:p w14:paraId="2C9EA3B3">
            <w:pPr>
              <w:pStyle w:val="15"/>
              <w:spacing w:before="172"/>
              <w:ind w:left="154" w:right="148"/>
              <w:rPr>
                <w:sz w:val="18"/>
              </w:rPr>
            </w:pPr>
            <w:r>
              <w:rPr>
                <w:sz w:val="18"/>
              </w:rPr>
              <w:t>-0.011</w:t>
            </w:r>
          </w:p>
          <w:p w14:paraId="677D7222">
            <w:pPr>
              <w:pStyle w:val="15"/>
              <w:spacing w:before="2" w:line="207" w:lineRule="exact"/>
              <w:ind w:left="154" w:right="148"/>
              <w:rPr>
                <w:sz w:val="18"/>
              </w:rPr>
            </w:pPr>
            <w:r>
              <w:rPr>
                <w:sz w:val="18"/>
              </w:rPr>
              <w:t>0.735</w:t>
            </w:r>
          </w:p>
          <w:p w14:paraId="44D32EC1">
            <w:pPr>
              <w:pStyle w:val="15"/>
              <w:spacing w:line="207" w:lineRule="exact"/>
              <w:ind w:left="157" w:right="148"/>
              <w:rPr>
                <w:sz w:val="18"/>
              </w:rPr>
            </w:pPr>
            <w:r>
              <w:rPr>
                <w:sz w:val="18"/>
              </w:rPr>
              <w:t>1018</w:t>
            </w:r>
          </w:p>
        </w:tc>
        <w:tc>
          <w:tcPr>
            <w:tcW w:w="1258" w:type="dxa"/>
          </w:tcPr>
          <w:p w14:paraId="46540CFF">
            <w:pPr>
              <w:pStyle w:val="15"/>
              <w:spacing w:before="172"/>
              <w:ind w:left="306" w:right="292"/>
              <w:rPr>
                <w:sz w:val="18"/>
              </w:rPr>
            </w:pPr>
            <w:r>
              <w:rPr>
                <w:sz w:val="18"/>
              </w:rPr>
              <w:t>-0.055</w:t>
            </w:r>
          </w:p>
          <w:p w14:paraId="7561AC27">
            <w:pPr>
              <w:pStyle w:val="15"/>
              <w:spacing w:before="2" w:line="207" w:lineRule="exact"/>
              <w:ind w:left="303" w:right="292"/>
              <w:rPr>
                <w:sz w:val="18"/>
              </w:rPr>
            </w:pPr>
            <w:r>
              <w:rPr>
                <w:sz w:val="18"/>
              </w:rPr>
              <w:t>0.078</w:t>
            </w:r>
          </w:p>
          <w:p w14:paraId="18CEBBD9">
            <w:pPr>
              <w:pStyle w:val="15"/>
              <w:spacing w:line="207" w:lineRule="exact"/>
              <w:ind w:left="306" w:right="292"/>
              <w:rPr>
                <w:sz w:val="18"/>
              </w:rPr>
            </w:pPr>
            <w:r>
              <w:rPr>
                <w:sz w:val="18"/>
              </w:rPr>
              <w:t>1018</w:t>
            </w:r>
          </w:p>
        </w:tc>
        <w:tc>
          <w:tcPr>
            <w:tcW w:w="1353" w:type="dxa"/>
            <w:tcBorders>
              <w:right w:val="nil"/>
            </w:tcBorders>
          </w:tcPr>
          <w:p w14:paraId="1D7E31DB">
            <w:pPr>
              <w:pStyle w:val="15"/>
              <w:spacing w:before="172"/>
              <w:ind w:left="105" w:right="118"/>
              <w:rPr>
                <w:sz w:val="18"/>
              </w:rPr>
            </w:pPr>
            <w:r>
              <w:rPr>
                <w:sz w:val="18"/>
              </w:rPr>
              <w:t>0.045</w:t>
            </w:r>
          </w:p>
          <w:p w14:paraId="0D2C1DCA">
            <w:pPr>
              <w:pStyle w:val="15"/>
              <w:spacing w:before="2" w:line="207" w:lineRule="exact"/>
              <w:ind w:left="105" w:right="118"/>
              <w:rPr>
                <w:sz w:val="18"/>
              </w:rPr>
            </w:pPr>
            <w:r>
              <w:rPr>
                <w:sz w:val="18"/>
              </w:rPr>
              <w:t>0.503</w:t>
            </w:r>
          </w:p>
          <w:p w14:paraId="1CC04CAE">
            <w:pPr>
              <w:pStyle w:val="15"/>
              <w:spacing w:line="207" w:lineRule="exact"/>
              <w:ind w:left="106" w:right="118"/>
              <w:rPr>
                <w:sz w:val="18"/>
              </w:rPr>
            </w:pPr>
            <w:r>
              <w:rPr>
                <w:sz w:val="18"/>
              </w:rPr>
              <w:t>219</w:t>
            </w:r>
          </w:p>
        </w:tc>
      </w:tr>
      <w:tr w14:paraId="5225D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313" w:type="dxa"/>
            <w:tcBorders>
              <w:left w:val="nil"/>
            </w:tcBorders>
          </w:tcPr>
          <w:p w14:paraId="79C7E145">
            <w:pPr>
              <w:pStyle w:val="15"/>
              <w:spacing w:before="5"/>
              <w:jc w:val="left"/>
              <w:rPr>
                <w:rFonts w:ascii="宋体"/>
                <w:sz w:val="19"/>
              </w:rPr>
            </w:pPr>
          </w:p>
          <w:p w14:paraId="6AD0DB25">
            <w:pPr>
              <w:pStyle w:val="15"/>
              <w:spacing w:before="1" w:line="242" w:lineRule="auto"/>
              <w:ind w:left="492" w:right="180" w:hanging="269"/>
              <w:jc w:val="left"/>
              <w:rPr>
                <w:rFonts w:hint="eastAsia" w:ascii="宋体" w:eastAsia="宋体"/>
                <w:sz w:val="18"/>
              </w:rPr>
            </w:pPr>
            <w:r>
              <w:rPr>
                <w:sz w:val="18"/>
              </w:rPr>
              <w:t>2005</w:t>
            </w:r>
            <w:r>
              <w:rPr>
                <w:rFonts w:hint="eastAsia" w:ascii="宋体" w:eastAsia="宋体"/>
                <w:sz w:val="18"/>
              </w:rPr>
              <w:t>年权益乘数</w:t>
            </w:r>
          </w:p>
        </w:tc>
        <w:tc>
          <w:tcPr>
            <w:tcW w:w="1714" w:type="dxa"/>
          </w:tcPr>
          <w:p w14:paraId="1B74C559">
            <w:pPr>
              <w:pStyle w:val="15"/>
              <w:spacing w:before="131"/>
              <w:ind w:left="18" w:right="7"/>
              <w:rPr>
                <w:rFonts w:hint="eastAsia" w:ascii="宋体" w:eastAsia="宋体"/>
                <w:sz w:val="18"/>
              </w:rPr>
            </w:pPr>
            <w:r>
              <w:rPr>
                <w:sz w:val="18"/>
              </w:rPr>
              <w:t>Pearson</w:t>
            </w:r>
            <w:r>
              <w:rPr>
                <w:rFonts w:hint="eastAsia" w:ascii="宋体" w:eastAsia="宋体"/>
                <w:sz w:val="18"/>
              </w:rPr>
              <w:t>相关性</w:t>
            </w:r>
          </w:p>
          <w:p w14:paraId="5311FA47">
            <w:pPr>
              <w:pStyle w:val="15"/>
              <w:spacing w:before="3" w:line="244"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Pr>
          <w:p w14:paraId="262C0D3F">
            <w:pPr>
              <w:pStyle w:val="15"/>
              <w:spacing w:before="172"/>
              <w:ind w:left="349" w:right="336"/>
              <w:rPr>
                <w:sz w:val="18"/>
              </w:rPr>
            </w:pPr>
            <w:r>
              <w:rPr>
                <w:sz w:val="18"/>
              </w:rPr>
              <w:t>-0.073* 0.020</w:t>
            </w:r>
          </w:p>
          <w:p w14:paraId="744A1659">
            <w:pPr>
              <w:pStyle w:val="15"/>
              <w:spacing w:line="206" w:lineRule="exact"/>
              <w:ind w:left="157" w:right="147"/>
              <w:rPr>
                <w:sz w:val="18"/>
              </w:rPr>
            </w:pPr>
            <w:r>
              <w:rPr>
                <w:sz w:val="18"/>
              </w:rPr>
              <w:t>1018</w:t>
            </w:r>
          </w:p>
        </w:tc>
        <w:tc>
          <w:tcPr>
            <w:tcW w:w="1257" w:type="dxa"/>
          </w:tcPr>
          <w:p w14:paraId="7F0A84BE">
            <w:pPr>
              <w:pStyle w:val="15"/>
              <w:spacing w:before="172" w:line="207" w:lineRule="exact"/>
              <w:ind w:left="157" w:right="148"/>
              <w:rPr>
                <w:sz w:val="18"/>
              </w:rPr>
            </w:pPr>
            <w:r>
              <w:rPr>
                <w:sz w:val="18"/>
              </w:rPr>
              <w:t>-0.011</w:t>
            </w:r>
          </w:p>
          <w:p w14:paraId="6F16373A">
            <w:pPr>
              <w:pStyle w:val="15"/>
              <w:spacing w:line="206" w:lineRule="exact"/>
              <w:ind w:left="157" w:right="148"/>
              <w:rPr>
                <w:sz w:val="18"/>
              </w:rPr>
            </w:pPr>
            <w:r>
              <w:rPr>
                <w:sz w:val="18"/>
              </w:rPr>
              <w:t>0.735</w:t>
            </w:r>
          </w:p>
          <w:p w14:paraId="16D740FC">
            <w:pPr>
              <w:pStyle w:val="15"/>
              <w:spacing w:line="207" w:lineRule="exact"/>
              <w:ind w:left="157" w:right="145"/>
              <w:rPr>
                <w:sz w:val="18"/>
              </w:rPr>
            </w:pPr>
            <w:r>
              <w:rPr>
                <w:sz w:val="18"/>
              </w:rPr>
              <w:t>1018</w:t>
            </w:r>
          </w:p>
        </w:tc>
        <w:tc>
          <w:tcPr>
            <w:tcW w:w="1257" w:type="dxa"/>
          </w:tcPr>
          <w:p w14:paraId="5CB6FD1B">
            <w:pPr>
              <w:pStyle w:val="15"/>
              <w:spacing w:before="172"/>
              <w:ind w:left="154" w:right="148"/>
              <w:rPr>
                <w:sz w:val="18"/>
              </w:rPr>
            </w:pPr>
            <w:r>
              <w:rPr>
                <w:sz w:val="18"/>
              </w:rPr>
              <w:t>1.000</w:t>
            </w:r>
          </w:p>
          <w:p w14:paraId="0C588E15">
            <w:pPr>
              <w:pStyle w:val="15"/>
              <w:spacing w:before="1"/>
              <w:jc w:val="left"/>
              <w:rPr>
                <w:rFonts w:ascii="宋体"/>
                <w:sz w:val="16"/>
              </w:rPr>
            </w:pPr>
          </w:p>
          <w:p w14:paraId="37E31857">
            <w:pPr>
              <w:pStyle w:val="15"/>
              <w:ind w:left="157" w:right="148"/>
              <w:rPr>
                <w:sz w:val="18"/>
              </w:rPr>
            </w:pPr>
            <w:r>
              <w:rPr>
                <w:sz w:val="18"/>
              </w:rPr>
              <w:t>1018</w:t>
            </w:r>
          </w:p>
        </w:tc>
        <w:tc>
          <w:tcPr>
            <w:tcW w:w="1258" w:type="dxa"/>
          </w:tcPr>
          <w:p w14:paraId="1FF86DEC">
            <w:pPr>
              <w:pStyle w:val="15"/>
              <w:spacing w:before="172" w:line="207" w:lineRule="exact"/>
              <w:ind w:left="306" w:right="292"/>
              <w:rPr>
                <w:sz w:val="18"/>
              </w:rPr>
            </w:pPr>
            <w:r>
              <w:rPr>
                <w:sz w:val="18"/>
              </w:rPr>
              <w:t>-0.003</w:t>
            </w:r>
          </w:p>
          <w:p w14:paraId="6450EFC4">
            <w:pPr>
              <w:pStyle w:val="15"/>
              <w:spacing w:line="206" w:lineRule="exact"/>
              <w:ind w:left="303" w:right="292"/>
              <w:rPr>
                <w:sz w:val="18"/>
              </w:rPr>
            </w:pPr>
            <w:r>
              <w:rPr>
                <w:sz w:val="18"/>
              </w:rPr>
              <w:t>0.918</w:t>
            </w:r>
          </w:p>
          <w:p w14:paraId="7750F3C3">
            <w:pPr>
              <w:pStyle w:val="15"/>
              <w:spacing w:line="207" w:lineRule="exact"/>
              <w:ind w:left="306" w:right="292"/>
              <w:rPr>
                <w:sz w:val="18"/>
              </w:rPr>
            </w:pPr>
            <w:r>
              <w:rPr>
                <w:sz w:val="18"/>
              </w:rPr>
              <w:t>1018</w:t>
            </w:r>
          </w:p>
        </w:tc>
        <w:tc>
          <w:tcPr>
            <w:tcW w:w="1353" w:type="dxa"/>
            <w:tcBorders>
              <w:right w:val="nil"/>
            </w:tcBorders>
          </w:tcPr>
          <w:p w14:paraId="056A86BC">
            <w:pPr>
              <w:pStyle w:val="15"/>
              <w:spacing w:before="172" w:line="207" w:lineRule="exact"/>
              <w:ind w:left="105" w:right="118"/>
              <w:rPr>
                <w:sz w:val="18"/>
              </w:rPr>
            </w:pPr>
            <w:r>
              <w:rPr>
                <w:sz w:val="18"/>
              </w:rPr>
              <w:t>0.068</w:t>
            </w:r>
          </w:p>
          <w:p w14:paraId="753D958F">
            <w:pPr>
              <w:pStyle w:val="15"/>
              <w:spacing w:line="206" w:lineRule="exact"/>
              <w:ind w:left="105" w:right="118"/>
              <w:rPr>
                <w:sz w:val="18"/>
              </w:rPr>
            </w:pPr>
            <w:r>
              <w:rPr>
                <w:sz w:val="18"/>
              </w:rPr>
              <w:t>0.319</w:t>
            </w:r>
          </w:p>
          <w:p w14:paraId="3384E868">
            <w:pPr>
              <w:pStyle w:val="15"/>
              <w:spacing w:line="207" w:lineRule="exact"/>
              <w:ind w:left="106" w:right="118"/>
              <w:rPr>
                <w:sz w:val="18"/>
              </w:rPr>
            </w:pPr>
            <w:r>
              <w:rPr>
                <w:sz w:val="18"/>
              </w:rPr>
              <w:t>219</w:t>
            </w:r>
          </w:p>
        </w:tc>
      </w:tr>
      <w:tr w14:paraId="5D8AB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313" w:type="dxa"/>
            <w:tcBorders>
              <w:left w:val="nil"/>
            </w:tcBorders>
          </w:tcPr>
          <w:p w14:paraId="4FE1CC0C">
            <w:pPr>
              <w:pStyle w:val="15"/>
              <w:spacing w:before="5"/>
              <w:jc w:val="left"/>
              <w:rPr>
                <w:rFonts w:ascii="宋体"/>
                <w:sz w:val="19"/>
              </w:rPr>
            </w:pPr>
          </w:p>
          <w:p w14:paraId="610B2F1C">
            <w:pPr>
              <w:pStyle w:val="15"/>
              <w:spacing w:before="1" w:line="242" w:lineRule="auto"/>
              <w:ind w:left="223" w:right="180"/>
              <w:jc w:val="left"/>
              <w:rPr>
                <w:rFonts w:hint="eastAsia" w:ascii="宋体" w:eastAsia="宋体"/>
                <w:sz w:val="18"/>
              </w:rPr>
            </w:pPr>
            <w:r>
              <w:rPr>
                <w:sz w:val="18"/>
              </w:rPr>
              <w:t>2005</w:t>
            </w:r>
            <w:r>
              <w:rPr>
                <w:rFonts w:hint="eastAsia" w:ascii="宋体" w:eastAsia="宋体"/>
                <w:sz w:val="18"/>
              </w:rPr>
              <w:t>年国有股持股比例</w:t>
            </w:r>
          </w:p>
        </w:tc>
        <w:tc>
          <w:tcPr>
            <w:tcW w:w="1714" w:type="dxa"/>
          </w:tcPr>
          <w:p w14:paraId="25542A76">
            <w:pPr>
              <w:pStyle w:val="15"/>
              <w:spacing w:before="132"/>
              <w:ind w:left="18" w:right="7"/>
              <w:rPr>
                <w:rFonts w:hint="eastAsia" w:ascii="宋体" w:eastAsia="宋体"/>
                <w:sz w:val="18"/>
              </w:rPr>
            </w:pPr>
            <w:r>
              <w:rPr>
                <w:sz w:val="18"/>
              </w:rPr>
              <w:t>Pearson</w:t>
            </w:r>
            <w:r>
              <w:rPr>
                <w:rFonts w:hint="eastAsia" w:ascii="宋体" w:eastAsia="宋体"/>
                <w:sz w:val="18"/>
              </w:rPr>
              <w:t>相关性</w:t>
            </w:r>
          </w:p>
          <w:p w14:paraId="6B24D5EA">
            <w:pPr>
              <w:pStyle w:val="15"/>
              <w:spacing w:before="4" w:line="242"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Pr>
          <w:p w14:paraId="6ECFAE48">
            <w:pPr>
              <w:pStyle w:val="15"/>
              <w:spacing w:before="172"/>
              <w:ind w:left="157" w:right="147"/>
              <w:rPr>
                <w:sz w:val="18"/>
              </w:rPr>
            </w:pPr>
            <w:r>
              <w:rPr>
                <w:sz w:val="18"/>
              </w:rPr>
              <w:t>-0.105**</w:t>
            </w:r>
            <w:r>
              <w:rPr>
                <w:w w:val="99"/>
                <w:sz w:val="18"/>
              </w:rPr>
              <w:t xml:space="preserve"> </w:t>
            </w:r>
            <w:r>
              <w:rPr>
                <w:sz w:val="18"/>
              </w:rPr>
              <w:t>0.000</w:t>
            </w:r>
          </w:p>
          <w:p w14:paraId="2229589B">
            <w:pPr>
              <w:pStyle w:val="15"/>
              <w:spacing w:line="206" w:lineRule="exact"/>
              <w:ind w:left="157" w:right="147"/>
              <w:rPr>
                <w:sz w:val="18"/>
              </w:rPr>
            </w:pPr>
            <w:r>
              <w:rPr>
                <w:sz w:val="18"/>
              </w:rPr>
              <w:t>1018</w:t>
            </w:r>
          </w:p>
        </w:tc>
        <w:tc>
          <w:tcPr>
            <w:tcW w:w="1257" w:type="dxa"/>
          </w:tcPr>
          <w:p w14:paraId="5ECEDC83">
            <w:pPr>
              <w:pStyle w:val="15"/>
              <w:spacing w:before="172" w:line="207" w:lineRule="exact"/>
              <w:ind w:left="157" w:right="146"/>
              <w:rPr>
                <w:sz w:val="18"/>
              </w:rPr>
            </w:pPr>
            <w:r>
              <w:rPr>
                <w:sz w:val="18"/>
              </w:rPr>
              <w:t>-0.055</w:t>
            </w:r>
          </w:p>
          <w:p w14:paraId="7A77A848">
            <w:pPr>
              <w:pStyle w:val="15"/>
              <w:spacing w:line="207" w:lineRule="exact"/>
              <w:ind w:left="157" w:right="148"/>
              <w:rPr>
                <w:sz w:val="18"/>
              </w:rPr>
            </w:pPr>
            <w:r>
              <w:rPr>
                <w:sz w:val="18"/>
              </w:rPr>
              <w:t>0.078</w:t>
            </w:r>
          </w:p>
          <w:p w14:paraId="35CD482B">
            <w:pPr>
              <w:pStyle w:val="15"/>
              <w:ind w:left="157" w:right="145"/>
              <w:rPr>
                <w:sz w:val="18"/>
              </w:rPr>
            </w:pPr>
            <w:r>
              <w:rPr>
                <w:sz w:val="18"/>
              </w:rPr>
              <w:t>1018</w:t>
            </w:r>
          </w:p>
        </w:tc>
        <w:tc>
          <w:tcPr>
            <w:tcW w:w="1257" w:type="dxa"/>
          </w:tcPr>
          <w:p w14:paraId="749AEF76">
            <w:pPr>
              <w:pStyle w:val="15"/>
              <w:spacing w:before="172" w:line="207" w:lineRule="exact"/>
              <w:ind w:left="157" w:right="148"/>
              <w:rPr>
                <w:sz w:val="18"/>
              </w:rPr>
            </w:pPr>
            <w:r>
              <w:rPr>
                <w:sz w:val="18"/>
              </w:rPr>
              <w:t>-0.003</w:t>
            </w:r>
          </w:p>
          <w:p w14:paraId="0AC71296">
            <w:pPr>
              <w:pStyle w:val="15"/>
              <w:spacing w:line="207" w:lineRule="exact"/>
              <w:ind w:left="154" w:right="148"/>
              <w:rPr>
                <w:sz w:val="18"/>
              </w:rPr>
            </w:pPr>
            <w:r>
              <w:rPr>
                <w:sz w:val="18"/>
              </w:rPr>
              <w:t>0.918</w:t>
            </w:r>
          </w:p>
          <w:p w14:paraId="0E885382">
            <w:pPr>
              <w:pStyle w:val="15"/>
              <w:ind w:left="157" w:right="148"/>
              <w:rPr>
                <w:sz w:val="18"/>
              </w:rPr>
            </w:pPr>
            <w:r>
              <w:rPr>
                <w:sz w:val="18"/>
              </w:rPr>
              <w:t>1018</w:t>
            </w:r>
          </w:p>
        </w:tc>
        <w:tc>
          <w:tcPr>
            <w:tcW w:w="1258" w:type="dxa"/>
          </w:tcPr>
          <w:p w14:paraId="441EC0EA">
            <w:pPr>
              <w:pStyle w:val="15"/>
              <w:spacing w:before="172"/>
              <w:ind w:left="303" w:right="292"/>
              <w:rPr>
                <w:sz w:val="18"/>
              </w:rPr>
            </w:pPr>
            <w:r>
              <w:rPr>
                <w:sz w:val="18"/>
              </w:rPr>
              <w:t>1.000</w:t>
            </w:r>
          </w:p>
          <w:p w14:paraId="3152DD71">
            <w:pPr>
              <w:pStyle w:val="15"/>
              <w:spacing w:before="1"/>
              <w:jc w:val="left"/>
              <w:rPr>
                <w:rFonts w:ascii="宋体"/>
                <w:sz w:val="16"/>
              </w:rPr>
            </w:pPr>
          </w:p>
          <w:p w14:paraId="7F799513">
            <w:pPr>
              <w:pStyle w:val="15"/>
              <w:spacing w:before="1"/>
              <w:ind w:left="306" w:right="292"/>
              <w:rPr>
                <w:sz w:val="18"/>
              </w:rPr>
            </w:pPr>
            <w:r>
              <w:rPr>
                <w:sz w:val="18"/>
              </w:rPr>
              <w:t>1018</w:t>
            </w:r>
          </w:p>
        </w:tc>
        <w:tc>
          <w:tcPr>
            <w:tcW w:w="1353" w:type="dxa"/>
            <w:tcBorders>
              <w:right w:val="nil"/>
            </w:tcBorders>
          </w:tcPr>
          <w:p w14:paraId="003B2B98">
            <w:pPr>
              <w:pStyle w:val="15"/>
              <w:spacing w:before="172" w:line="207" w:lineRule="exact"/>
              <w:ind w:left="109" w:right="118"/>
              <w:rPr>
                <w:sz w:val="18"/>
              </w:rPr>
            </w:pPr>
            <w:r>
              <w:rPr>
                <w:sz w:val="18"/>
              </w:rPr>
              <w:t>0.137*</w:t>
            </w:r>
          </w:p>
          <w:p w14:paraId="0173B3BE">
            <w:pPr>
              <w:pStyle w:val="15"/>
              <w:spacing w:line="207" w:lineRule="exact"/>
              <w:ind w:left="105" w:right="118"/>
              <w:rPr>
                <w:sz w:val="18"/>
              </w:rPr>
            </w:pPr>
            <w:r>
              <w:rPr>
                <w:sz w:val="18"/>
              </w:rPr>
              <w:t>0.043</w:t>
            </w:r>
          </w:p>
          <w:p w14:paraId="1F0FEA44">
            <w:pPr>
              <w:pStyle w:val="15"/>
              <w:ind w:left="106" w:right="118"/>
              <w:rPr>
                <w:sz w:val="18"/>
              </w:rPr>
            </w:pPr>
            <w:r>
              <w:rPr>
                <w:sz w:val="18"/>
              </w:rPr>
              <w:t>219</w:t>
            </w:r>
          </w:p>
        </w:tc>
      </w:tr>
      <w:tr w14:paraId="1A41A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313" w:type="dxa"/>
            <w:tcBorders>
              <w:left w:val="nil"/>
              <w:bottom w:val="nil"/>
            </w:tcBorders>
          </w:tcPr>
          <w:p w14:paraId="4E7152BE">
            <w:pPr>
              <w:pStyle w:val="15"/>
              <w:spacing w:before="134" w:line="224" w:lineRule="exact"/>
              <w:ind w:left="203" w:right="163"/>
              <w:rPr>
                <w:rFonts w:hint="eastAsia" w:ascii="宋体" w:eastAsia="宋体"/>
                <w:sz w:val="18"/>
              </w:rPr>
            </w:pPr>
            <w:r>
              <w:rPr>
                <w:sz w:val="18"/>
              </w:rPr>
              <w:t>2005</w:t>
            </w:r>
            <w:r>
              <w:rPr>
                <w:rFonts w:hint="eastAsia" w:ascii="宋体" w:eastAsia="宋体"/>
                <w:sz w:val="18"/>
              </w:rPr>
              <w:t>年高管</w:t>
            </w:r>
          </w:p>
        </w:tc>
        <w:tc>
          <w:tcPr>
            <w:tcW w:w="1714" w:type="dxa"/>
            <w:vMerge w:val="restart"/>
          </w:tcPr>
          <w:p w14:paraId="2E4EE624">
            <w:pPr>
              <w:pStyle w:val="15"/>
              <w:spacing w:before="134"/>
              <w:ind w:left="18" w:right="7"/>
              <w:rPr>
                <w:rFonts w:hint="eastAsia" w:ascii="宋体" w:eastAsia="宋体"/>
                <w:sz w:val="18"/>
              </w:rPr>
            </w:pPr>
            <w:r>
              <w:rPr>
                <w:sz w:val="18"/>
              </w:rPr>
              <w:t>Pearson</w:t>
            </w:r>
            <w:r>
              <w:rPr>
                <w:rFonts w:hint="eastAsia" w:ascii="宋体" w:eastAsia="宋体"/>
                <w:sz w:val="18"/>
              </w:rPr>
              <w:t>相关性</w:t>
            </w:r>
          </w:p>
          <w:p w14:paraId="322EA74A">
            <w:pPr>
              <w:pStyle w:val="15"/>
              <w:spacing w:before="2" w:line="242" w:lineRule="auto"/>
              <w:ind w:left="107" w:right="8"/>
              <w:rPr>
                <w:rFonts w:hint="eastAsia" w:ascii="宋体" w:eastAsia="宋体"/>
                <w:sz w:val="18"/>
              </w:rPr>
            </w:pPr>
            <w:r>
              <w:rPr>
                <w:rFonts w:hint="eastAsia" w:ascii="宋体" w:eastAsia="宋体"/>
                <w:spacing w:val="-7"/>
                <w:sz w:val="18"/>
              </w:rPr>
              <w:t>显著性检验</w:t>
            </w:r>
            <w:r>
              <w:rPr>
                <w:rFonts w:hint="eastAsia" w:ascii="宋体" w:eastAsia="宋体"/>
                <w:sz w:val="18"/>
              </w:rPr>
              <w:t>（双尾</w:t>
            </w:r>
            <w:r>
              <w:rPr>
                <w:rFonts w:hint="eastAsia" w:ascii="宋体" w:eastAsia="宋体"/>
                <w:spacing w:val="-17"/>
                <w:sz w:val="18"/>
              </w:rPr>
              <w:t xml:space="preserve">） </w:t>
            </w:r>
            <w:r>
              <w:rPr>
                <w:rFonts w:hint="eastAsia" w:ascii="宋体" w:eastAsia="宋体"/>
                <w:sz w:val="18"/>
              </w:rPr>
              <w:t>个数</w:t>
            </w:r>
          </w:p>
        </w:tc>
        <w:tc>
          <w:tcPr>
            <w:tcW w:w="1257" w:type="dxa"/>
            <w:tcBorders>
              <w:bottom w:val="nil"/>
            </w:tcBorders>
          </w:tcPr>
          <w:p w14:paraId="67D6379C">
            <w:pPr>
              <w:pStyle w:val="15"/>
              <w:spacing w:before="172" w:line="186" w:lineRule="exact"/>
              <w:ind w:left="156" w:right="148"/>
              <w:rPr>
                <w:sz w:val="18"/>
              </w:rPr>
            </w:pPr>
            <w:r>
              <w:rPr>
                <w:sz w:val="18"/>
              </w:rPr>
              <w:t>-0.207**</w:t>
            </w:r>
          </w:p>
        </w:tc>
        <w:tc>
          <w:tcPr>
            <w:tcW w:w="1257" w:type="dxa"/>
            <w:tcBorders>
              <w:bottom w:val="nil"/>
            </w:tcBorders>
          </w:tcPr>
          <w:p w14:paraId="42600BE2">
            <w:pPr>
              <w:pStyle w:val="15"/>
              <w:spacing w:before="172" w:line="186" w:lineRule="exact"/>
              <w:ind w:right="413"/>
              <w:jc w:val="right"/>
              <w:rPr>
                <w:sz w:val="18"/>
              </w:rPr>
            </w:pPr>
            <w:r>
              <w:rPr>
                <w:sz w:val="18"/>
              </w:rPr>
              <w:t>0.045</w:t>
            </w:r>
          </w:p>
        </w:tc>
        <w:tc>
          <w:tcPr>
            <w:tcW w:w="1257" w:type="dxa"/>
            <w:tcBorders>
              <w:bottom w:val="nil"/>
            </w:tcBorders>
          </w:tcPr>
          <w:p w14:paraId="383858FC">
            <w:pPr>
              <w:pStyle w:val="15"/>
              <w:spacing w:before="172" w:line="186" w:lineRule="exact"/>
              <w:ind w:left="154" w:right="148"/>
              <w:rPr>
                <w:sz w:val="18"/>
              </w:rPr>
            </w:pPr>
            <w:r>
              <w:rPr>
                <w:sz w:val="18"/>
              </w:rPr>
              <w:t>0.068</w:t>
            </w:r>
          </w:p>
        </w:tc>
        <w:tc>
          <w:tcPr>
            <w:tcW w:w="1258" w:type="dxa"/>
            <w:tcBorders>
              <w:bottom w:val="nil"/>
            </w:tcBorders>
          </w:tcPr>
          <w:p w14:paraId="29C6F5C4">
            <w:pPr>
              <w:pStyle w:val="15"/>
              <w:spacing w:before="172" w:line="186" w:lineRule="exact"/>
              <w:ind w:left="307" w:right="291"/>
              <w:rPr>
                <w:sz w:val="18"/>
              </w:rPr>
            </w:pPr>
            <w:r>
              <w:rPr>
                <w:sz w:val="18"/>
              </w:rPr>
              <w:t>0.137*</w:t>
            </w:r>
          </w:p>
        </w:tc>
        <w:tc>
          <w:tcPr>
            <w:tcW w:w="1353" w:type="dxa"/>
            <w:tcBorders>
              <w:bottom w:val="nil"/>
              <w:right w:val="nil"/>
            </w:tcBorders>
          </w:tcPr>
          <w:p w14:paraId="51677867">
            <w:pPr>
              <w:pStyle w:val="15"/>
              <w:spacing w:before="172" w:line="186" w:lineRule="exact"/>
              <w:ind w:right="476"/>
              <w:jc w:val="right"/>
              <w:rPr>
                <w:sz w:val="18"/>
              </w:rPr>
            </w:pPr>
            <w:r>
              <w:rPr>
                <w:sz w:val="18"/>
              </w:rPr>
              <w:t>1.000</w:t>
            </w:r>
          </w:p>
        </w:tc>
      </w:tr>
      <w:tr w14:paraId="40FFD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13" w:type="dxa"/>
            <w:tcBorders>
              <w:top w:val="nil"/>
              <w:left w:val="nil"/>
              <w:bottom w:val="nil"/>
            </w:tcBorders>
          </w:tcPr>
          <w:p w14:paraId="47BA61DF">
            <w:pPr>
              <w:pStyle w:val="15"/>
              <w:spacing w:line="178" w:lineRule="exact"/>
              <w:ind w:left="202" w:right="164"/>
              <w:rPr>
                <w:rFonts w:hint="eastAsia" w:ascii="宋体" w:eastAsia="宋体"/>
                <w:sz w:val="18"/>
              </w:rPr>
            </w:pPr>
            <w:r>
              <w:rPr>
                <w:rFonts w:hint="eastAsia" w:ascii="宋体" w:eastAsia="宋体"/>
                <w:sz w:val="18"/>
              </w:rPr>
              <w:t>持股量平方</w:t>
            </w:r>
          </w:p>
        </w:tc>
        <w:tc>
          <w:tcPr>
            <w:tcW w:w="1714" w:type="dxa"/>
            <w:vMerge w:val="continue"/>
            <w:tcBorders>
              <w:top w:val="nil"/>
            </w:tcBorders>
          </w:tcPr>
          <w:p w14:paraId="484D06C0">
            <w:pPr>
              <w:rPr>
                <w:sz w:val="2"/>
                <w:szCs w:val="2"/>
              </w:rPr>
            </w:pPr>
          </w:p>
        </w:tc>
        <w:tc>
          <w:tcPr>
            <w:tcW w:w="1257" w:type="dxa"/>
            <w:tcBorders>
              <w:top w:val="nil"/>
              <w:bottom w:val="nil"/>
            </w:tcBorders>
          </w:tcPr>
          <w:p w14:paraId="1F57A9B5">
            <w:pPr>
              <w:pStyle w:val="15"/>
              <w:spacing w:line="178" w:lineRule="exact"/>
              <w:ind w:left="156" w:right="148"/>
              <w:rPr>
                <w:sz w:val="18"/>
              </w:rPr>
            </w:pPr>
            <w:r>
              <w:rPr>
                <w:sz w:val="18"/>
              </w:rPr>
              <w:t>0.002</w:t>
            </w:r>
          </w:p>
        </w:tc>
        <w:tc>
          <w:tcPr>
            <w:tcW w:w="1257" w:type="dxa"/>
            <w:tcBorders>
              <w:top w:val="nil"/>
              <w:bottom w:val="nil"/>
            </w:tcBorders>
          </w:tcPr>
          <w:p w14:paraId="3D4B69C7">
            <w:pPr>
              <w:pStyle w:val="15"/>
              <w:spacing w:line="178" w:lineRule="exact"/>
              <w:ind w:right="413"/>
              <w:jc w:val="right"/>
              <w:rPr>
                <w:sz w:val="18"/>
              </w:rPr>
            </w:pPr>
            <w:r>
              <w:rPr>
                <w:sz w:val="18"/>
              </w:rPr>
              <w:t>0.503</w:t>
            </w:r>
          </w:p>
        </w:tc>
        <w:tc>
          <w:tcPr>
            <w:tcW w:w="1257" w:type="dxa"/>
            <w:tcBorders>
              <w:top w:val="nil"/>
              <w:bottom w:val="nil"/>
            </w:tcBorders>
          </w:tcPr>
          <w:p w14:paraId="2D983C39">
            <w:pPr>
              <w:pStyle w:val="15"/>
              <w:spacing w:line="178" w:lineRule="exact"/>
              <w:ind w:left="154" w:right="148"/>
              <w:rPr>
                <w:sz w:val="18"/>
              </w:rPr>
            </w:pPr>
            <w:r>
              <w:rPr>
                <w:sz w:val="18"/>
              </w:rPr>
              <w:t>0.319</w:t>
            </w:r>
          </w:p>
        </w:tc>
        <w:tc>
          <w:tcPr>
            <w:tcW w:w="1258" w:type="dxa"/>
            <w:tcBorders>
              <w:top w:val="nil"/>
              <w:bottom w:val="nil"/>
            </w:tcBorders>
          </w:tcPr>
          <w:p w14:paraId="6EC3838D">
            <w:pPr>
              <w:pStyle w:val="15"/>
              <w:spacing w:line="178" w:lineRule="exact"/>
              <w:ind w:left="303" w:right="292"/>
              <w:rPr>
                <w:sz w:val="18"/>
              </w:rPr>
            </w:pPr>
            <w:r>
              <w:rPr>
                <w:sz w:val="18"/>
              </w:rPr>
              <w:t>0.043</w:t>
            </w:r>
          </w:p>
        </w:tc>
        <w:tc>
          <w:tcPr>
            <w:tcW w:w="1353" w:type="dxa"/>
            <w:tcBorders>
              <w:top w:val="nil"/>
              <w:bottom w:val="nil"/>
              <w:right w:val="nil"/>
            </w:tcBorders>
          </w:tcPr>
          <w:p w14:paraId="07E228F5">
            <w:pPr>
              <w:pStyle w:val="15"/>
              <w:jc w:val="left"/>
              <w:rPr>
                <w:sz w:val="12"/>
              </w:rPr>
            </w:pPr>
          </w:p>
        </w:tc>
      </w:tr>
      <w:tr w14:paraId="61742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313" w:type="dxa"/>
            <w:tcBorders>
              <w:top w:val="nil"/>
              <w:left w:val="nil"/>
            </w:tcBorders>
          </w:tcPr>
          <w:p w14:paraId="5C58965A">
            <w:pPr>
              <w:pStyle w:val="15"/>
              <w:spacing w:before="4"/>
              <w:ind w:left="200" w:right="164"/>
              <w:rPr>
                <w:rFonts w:hint="eastAsia" w:ascii="宋体" w:eastAsia="宋体"/>
                <w:sz w:val="18"/>
              </w:rPr>
            </w:pPr>
            <w:r>
              <w:rPr>
                <w:rFonts w:hint="eastAsia" w:ascii="宋体" w:eastAsia="宋体"/>
                <w:sz w:val="18"/>
              </w:rPr>
              <w:t>和的对数</w:t>
            </w:r>
          </w:p>
        </w:tc>
        <w:tc>
          <w:tcPr>
            <w:tcW w:w="1714" w:type="dxa"/>
            <w:vMerge w:val="continue"/>
            <w:tcBorders>
              <w:top w:val="nil"/>
            </w:tcBorders>
          </w:tcPr>
          <w:p w14:paraId="735B6FF9">
            <w:pPr>
              <w:rPr>
                <w:sz w:val="2"/>
                <w:szCs w:val="2"/>
              </w:rPr>
            </w:pPr>
          </w:p>
        </w:tc>
        <w:tc>
          <w:tcPr>
            <w:tcW w:w="1257" w:type="dxa"/>
            <w:tcBorders>
              <w:top w:val="nil"/>
            </w:tcBorders>
          </w:tcPr>
          <w:p w14:paraId="339D27E6">
            <w:pPr>
              <w:pStyle w:val="15"/>
              <w:spacing w:line="199" w:lineRule="exact"/>
              <w:ind w:left="157" w:right="147"/>
              <w:rPr>
                <w:sz w:val="18"/>
              </w:rPr>
            </w:pPr>
            <w:r>
              <w:rPr>
                <w:sz w:val="18"/>
              </w:rPr>
              <w:t>219</w:t>
            </w:r>
          </w:p>
        </w:tc>
        <w:tc>
          <w:tcPr>
            <w:tcW w:w="1257" w:type="dxa"/>
            <w:tcBorders>
              <w:top w:val="nil"/>
            </w:tcBorders>
          </w:tcPr>
          <w:p w14:paraId="3A4D1F68">
            <w:pPr>
              <w:pStyle w:val="15"/>
              <w:spacing w:line="199" w:lineRule="exact"/>
              <w:ind w:right="479"/>
              <w:jc w:val="right"/>
              <w:rPr>
                <w:sz w:val="18"/>
              </w:rPr>
            </w:pPr>
            <w:r>
              <w:rPr>
                <w:sz w:val="18"/>
              </w:rPr>
              <w:t>219</w:t>
            </w:r>
          </w:p>
        </w:tc>
        <w:tc>
          <w:tcPr>
            <w:tcW w:w="1257" w:type="dxa"/>
            <w:tcBorders>
              <w:top w:val="nil"/>
            </w:tcBorders>
          </w:tcPr>
          <w:p w14:paraId="0A5DBE1B">
            <w:pPr>
              <w:pStyle w:val="15"/>
              <w:spacing w:line="199" w:lineRule="exact"/>
              <w:ind w:left="156" w:right="148"/>
              <w:rPr>
                <w:sz w:val="18"/>
              </w:rPr>
            </w:pPr>
            <w:r>
              <w:rPr>
                <w:sz w:val="18"/>
              </w:rPr>
              <w:t>219</w:t>
            </w:r>
          </w:p>
        </w:tc>
        <w:tc>
          <w:tcPr>
            <w:tcW w:w="1258" w:type="dxa"/>
            <w:tcBorders>
              <w:top w:val="nil"/>
            </w:tcBorders>
          </w:tcPr>
          <w:p w14:paraId="6399D3F9">
            <w:pPr>
              <w:pStyle w:val="15"/>
              <w:spacing w:line="199" w:lineRule="exact"/>
              <w:ind w:left="305" w:right="292"/>
              <w:rPr>
                <w:sz w:val="18"/>
              </w:rPr>
            </w:pPr>
            <w:r>
              <w:rPr>
                <w:sz w:val="18"/>
              </w:rPr>
              <w:t>219</w:t>
            </w:r>
          </w:p>
        </w:tc>
        <w:tc>
          <w:tcPr>
            <w:tcW w:w="1353" w:type="dxa"/>
            <w:tcBorders>
              <w:top w:val="nil"/>
              <w:right w:val="nil"/>
            </w:tcBorders>
          </w:tcPr>
          <w:p w14:paraId="61D69280">
            <w:pPr>
              <w:pStyle w:val="15"/>
              <w:spacing w:line="199" w:lineRule="exact"/>
              <w:ind w:right="542"/>
              <w:jc w:val="right"/>
              <w:rPr>
                <w:sz w:val="18"/>
              </w:rPr>
            </w:pPr>
            <w:r>
              <w:rPr>
                <w:sz w:val="18"/>
              </w:rPr>
              <w:t>219</w:t>
            </w:r>
          </w:p>
        </w:tc>
      </w:tr>
    </w:tbl>
    <w:p w14:paraId="0568ACB4">
      <w:pPr>
        <w:spacing w:before="2"/>
        <w:ind w:left="598" w:right="0" w:firstLine="0"/>
        <w:jc w:val="left"/>
        <w:rPr>
          <w:rFonts w:hint="eastAsia" w:ascii="楷体" w:eastAsia="楷体"/>
          <w:sz w:val="18"/>
        </w:rPr>
      </w:pPr>
      <w:r>
        <w:rPr>
          <w:rFonts w:hint="eastAsia" w:ascii="楷体" w:eastAsia="楷体"/>
          <w:sz w:val="18"/>
        </w:rPr>
        <w:t>**表示在1％水平上（双尾检验）相关关系显著</w:t>
      </w:r>
    </w:p>
    <w:p w14:paraId="50B5BF36">
      <w:pPr>
        <w:spacing w:before="48" w:line="292" w:lineRule="auto"/>
        <w:ind w:left="598" w:right="5625" w:firstLine="0"/>
        <w:jc w:val="left"/>
        <w:rPr>
          <w:rFonts w:hint="eastAsia" w:ascii="楷体" w:hAnsi="楷体" w:eastAsia="楷体"/>
          <w:sz w:val="18"/>
        </w:rPr>
      </w:pPr>
      <w:r>
        <w:rPr>
          <w:rFonts w:hint="eastAsia" w:ascii="楷体" w:hAnsi="楷体" w:eastAsia="楷体"/>
          <w:sz w:val="18"/>
        </w:rPr>
        <w:t>*表示在5％水平上（双尾检验）相关关系显著资料来源：</w:t>
      </w:r>
      <w:r>
        <w:rPr>
          <w:rFonts w:ascii="Times New Roman" w:hAnsi="Times New Roman" w:eastAsia="Times New Roman"/>
          <w:sz w:val="18"/>
        </w:rPr>
        <w:t>XXXXXXXXXXXXX</w:t>
      </w:r>
      <w:r>
        <w:rPr>
          <w:rFonts w:hint="eastAsia" w:ascii="楷体" w:hAnsi="楷体" w:eastAsia="楷体"/>
          <w:sz w:val="18"/>
        </w:rPr>
        <w:t>……</w:t>
      </w:r>
    </w:p>
    <w:p w14:paraId="51F4E427">
      <w:pPr>
        <w:pStyle w:val="8"/>
        <w:spacing w:before="10"/>
        <w:rPr>
          <w:rFonts w:ascii="楷体"/>
          <w:sz w:val="25"/>
        </w:rPr>
      </w:pPr>
    </w:p>
    <w:p w14:paraId="2F5182D4">
      <w:pPr>
        <w:spacing w:after="0"/>
        <w:rPr>
          <w:rFonts w:ascii="楷体"/>
          <w:sz w:val="25"/>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14:paraId="233AD086">
      <w:pPr>
        <w:pStyle w:val="8"/>
        <w:spacing w:before="7"/>
        <w:rPr>
          <w:rFonts w:ascii="楷体"/>
          <w:sz w:val="35"/>
        </w:rPr>
      </w:pPr>
    </w:p>
    <w:p w14:paraId="13BDCF18">
      <w:pPr>
        <w:pStyle w:val="8"/>
        <w:ind w:left="718"/>
      </w:pPr>
      <w:r>
        <w:t>…………</w:t>
      </w:r>
    </w:p>
    <w:p w14:paraId="2EDD4EA3">
      <w:pPr>
        <w:pStyle w:val="7"/>
        <w:tabs>
          <w:tab w:val="left" w:pos="967"/>
        </w:tabs>
        <w:spacing w:before="74"/>
        <w:ind w:left="365"/>
      </w:pPr>
      <w:r>
        <w:rPr>
          <w:b w:val="0"/>
        </w:rPr>
        <w:br w:type="column"/>
      </w:r>
      <w:r>
        <w:t>表</w:t>
      </w:r>
      <w:r>
        <w:rPr>
          <w:rFonts w:ascii="Times New Roman" w:eastAsia="Times New Roman"/>
        </w:rPr>
        <w:t>9</w:t>
      </w:r>
      <w:r>
        <w:rPr>
          <w:rFonts w:ascii="Times New Roman" w:eastAsia="Times New Roman"/>
        </w:rPr>
        <w:tab/>
      </w:r>
      <w:r>
        <w:rPr>
          <w:rFonts w:ascii="Times New Roman" w:eastAsia="Times New Roman"/>
        </w:rPr>
        <w:t>2006</w:t>
      </w:r>
      <w:r>
        <w:t>年主观应计利润与各解释变量之间的关系表</w:t>
      </w:r>
    </w:p>
    <w:p w14:paraId="7792A691">
      <w:pPr>
        <w:spacing w:after="0"/>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2">
            <w:col w:w="1679" w:space="40"/>
            <w:col w:w="8111"/>
          </w:cols>
        </w:sectPr>
      </w:pPr>
    </w:p>
    <w:p w14:paraId="0EA9B523">
      <w:pPr>
        <w:pStyle w:val="8"/>
        <w:spacing w:before="75"/>
        <w:ind w:left="718"/>
      </w:pPr>
      <w:r>
        <w:t>从表</w:t>
      </w:r>
      <w:r>
        <w:rPr>
          <w:rFonts w:ascii="Times New Roman" w:hAnsi="Times New Roman" w:eastAsia="Times New Roman"/>
        </w:rPr>
        <w:t>8</w:t>
      </w:r>
      <w:r>
        <w:t>、表</w:t>
      </w:r>
      <w:r>
        <w:rPr>
          <w:rFonts w:ascii="Times New Roman" w:hAnsi="Times New Roman" w:eastAsia="Times New Roman"/>
        </w:rPr>
        <w:t>9</w:t>
      </w:r>
      <w:r>
        <w:t>结果可见，在</w:t>
      </w:r>
      <w:r>
        <w:rPr>
          <w:rFonts w:ascii="Times New Roman" w:hAnsi="Times New Roman" w:eastAsia="Times New Roman"/>
        </w:rPr>
        <w:t>2005</w:t>
      </w:r>
      <w:r>
        <w:t>-</w:t>
      </w:r>
      <w:r>
        <w:rPr>
          <w:rFonts w:ascii="Times New Roman" w:hAnsi="Times New Roman" w:eastAsia="Times New Roman"/>
        </w:rPr>
        <w:t>2006</w:t>
      </w:r>
      <w:r>
        <w:t>年间，……</w:t>
      </w:r>
    </w:p>
    <w:p w14:paraId="60CDDD84">
      <w:pPr>
        <w:pStyle w:val="8"/>
        <w:spacing w:before="74"/>
        <w:ind w:left="718"/>
      </w:pPr>
      <w:r>
        <w:t xml:space="preserve">………… </w:t>
      </w:r>
    </w:p>
    <w:p w14:paraId="529E3E46">
      <w:pPr>
        <w:pStyle w:val="8"/>
        <w:spacing w:before="45" w:line="242" w:lineRule="auto"/>
        <w:ind w:left="238" w:right="344" w:firstLine="480"/>
        <w:jc w:val="both"/>
      </w:pPr>
      <w:r>
        <w:rPr>
          <w:spacing w:val="-5"/>
        </w:rPr>
        <w:t>……使用相关指数的日收益率数据构建了一个类似看跌期权的公式，对月度内的这种</w:t>
      </w:r>
      <w:r>
        <w:rPr>
          <w:spacing w:val="-18"/>
        </w:rPr>
        <w:t>看跌期权价值进行累计，评估每日市场时机把握产生的月度价值。其计算公式表达如下</w:t>
      </w:r>
      <w:r>
        <w:t>（</w:t>
      </w:r>
      <w:r>
        <w:rPr>
          <w:spacing w:val="-17"/>
        </w:rPr>
        <w:t>见</w:t>
      </w:r>
      <w:r>
        <w:rPr>
          <w:spacing w:val="-30"/>
        </w:rPr>
        <w:t xml:space="preserve">式 </w:t>
      </w:r>
      <w:r>
        <w:rPr>
          <w:rFonts w:ascii="Times New Roman" w:hAnsi="Times New Roman" w:eastAsia="Times New Roman"/>
        </w:rPr>
        <w:t>3</w:t>
      </w:r>
      <w:r>
        <w:rPr>
          <w:spacing w:val="-120"/>
        </w:rPr>
        <w:t>）</w:t>
      </w:r>
      <w:r>
        <w:rPr>
          <w:spacing w:val="-1"/>
        </w:rPr>
        <w:t>：</w:t>
      </w:r>
      <w:r>
        <w:t xml:space="preserve"> </w:t>
      </w:r>
    </w:p>
    <w:p w14:paraId="7BEFF30E">
      <w:pPr>
        <w:pStyle w:val="8"/>
        <w:spacing w:before="3"/>
        <w:rPr>
          <w:sz w:val="8"/>
        </w:rPr>
      </w:pPr>
    </w:p>
    <w:p w14:paraId="4341F275">
      <w:pPr>
        <w:spacing w:after="0"/>
        <w:rPr>
          <w:sz w:val="8"/>
        </w:rPr>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14:paraId="05BB7520">
      <w:pPr>
        <w:spacing w:before="165" w:line="325" w:lineRule="exact"/>
        <w:ind w:left="0" w:right="0" w:firstLine="0"/>
        <w:jc w:val="right"/>
        <w:rPr>
          <w:rFonts w:ascii="Times New Roman" w:hAnsi="Times New Roman"/>
          <w:sz w:val="24"/>
        </w:rPr>
      </w:pPr>
      <w:r>
        <w:rPr>
          <w:rFonts w:ascii="Times New Roman" w:hAnsi="Times New Roman"/>
          <w:i/>
          <w:spacing w:val="6"/>
          <w:w w:val="105"/>
          <w:sz w:val="24"/>
        </w:rPr>
        <w:t>P</w:t>
      </w:r>
      <w:r>
        <w:rPr>
          <w:rFonts w:ascii="Times New Roman" w:hAnsi="Times New Roman"/>
          <w:i/>
          <w:spacing w:val="6"/>
          <w:w w:val="105"/>
          <w:position w:val="-5"/>
          <w:sz w:val="14"/>
        </w:rPr>
        <w:t xml:space="preserve">mt </w:t>
      </w:r>
      <w:r>
        <w:rPr>
          <w:rFonts w:ascii="Symbol" w:hAnsi="Symbol"/>
          <w:w w:val="105"/>
          <w:sz w:val="24"/>
        </w:rPr>
        <w:t></w:t>
      </w:r>
      <w:r>
        <w:rPr>
          <w:rFonts w:ascii="Times New Roman" w:hAnsi="Times New Roman"/>
          <w:spacing w:val="-54"/>
          <w:w w:val="105"/>
          <w:sz w:val="24"/>
        </w:rPr>
        <w:t xml:space="preserve"> </w:t>
      </w:r>
      <w:r>
        <w:rPr>
          <w:rFonts w:ascii="Times New Roman" w:hAnsi="Times New Roman"/>
          <w:spacing w:val="4"/>
          <w:w w:val="105"/>
          <w:sz w:val="24"/>
        </w:rPr>
        <w:t>{[</w:t>
      </w:r>
    </w:p>
    <w:p w14:paraId="58E47FF7">
      <w:pPr>
        <w:pStyle w:val="8"/>
        <w:spacing w:before="10"/>
        <w:rPr>
          <w:rFonts w:ascii="Times New Roman"/>
          <w:sz w:val="2"/>
        </w:rPr>
      </w:pPr>
      <w:r>
        <w:br w:type="column"/>
      </w:r>
    </w:p>
    <w:p w14:paraId="4AB08CAB">
      <w:pPr>
        <w:pStyle w:val="8"/>
        <w:spacing w:line="155" w:lineRule="exact"/>
        <w:ind w:left="267"/>
        <w:rPr>
          <w:rFonts w:ascii="Times New Roman"/>
          <w:sz w:val="15"/>
        </w:rPr>
      </w:pPr>
      <w:r>
        <w:rPr>
          <w:rFonts w:ascii="Times New Roman"/>
          <w:position w:val="-2"/>
          <w:sz w:val="15"/>
        </w:rPr>
        <w:pict>
          <v:shape id="_x0000_s1209" o:spid="_x0000_s1209" o:spt="202" type="#_x0000_t202" style="height:7.8pt;width:2.05pt;" filled="f" stroked="f" coordsize="21600,21600">
            <v:path/>
            <v:fill on="f" focussize="0,0"/>
            <v:stroke on="f" joinstyle="miter"/>
            <v:imagedata o:title=""/>
            <o:lock v:ext="edit"/>
            <v:textbox inset="0mm,0mm,0mm,0mm">
              <w:txbxContent>
                <w:p w14:paraId="20DDA218">
                  <w:pPr>
                    <w:spacing w:before="0" w:line="156" w:lineRule="exact"/>
                    <w:ind w:left="0" w:right="0" w:firstLine="0"/>
                    <w:jc w:val="left"/>
                    <w:rPr>
                      <w:rFonts w:ascii="Times New Roman"/>
                      <w:i/>
                      <w:sz w:val="14"/>
                    </w:rPr>
                  </w:pPr>
                  <w:r>
                    <w:rPr>
                      <w:rFonts w:ascii="Times New Roman"/>
                      <w:i/>
                      <w:w w:val="102"/>
                      <w:sz w:val="14"/>
                    </w:rPr>
                    <w:t>t</w:t>
                  </w:r>
                </w:p>
              </w:txbxContent>
            </v:textbox>
            <w10:wrap type="none"/>
            <w10:anchorlock/>
          </v:shape>
        </w:pict>
      </w:r>
    </w:p>
    <w:p w14:paraId="6CE001DB">
      <w:pPr>
        <w:spacing w:before="0" w:line="301" w:lineRule="exact"/>
        <w:ind w:left="142" w:right="0" w:firstLine="0"/>
        <w:jc w:val="left"/>
        <w:rPr>
          <w:rFonts w:ascii="Times New Roman" w:hAnsi="Times New Roman"/>
          <w:i/>
          <w:sz w:val="14"/>
        </w:rPr>
      </w:pPr>
      <w:r>
        <w:rPr>
          <w:rFonts w:ascii="Symbol" w:hAnsi="Symbol"/>
          <w:w w:val="105"/>
          <w:position w:val="-5"/>
          <w:sz w:val="36"/>
        </w:rPr>
        <w:t></w:t>
      </w:r>
      <w:r>
        <w:rPr>
          <w:rFonts w:ascii="Times New Roman" w:hAnsi="Times New Roman"/>
          <w:i/>
          <w:w w:val="105"/>
          <w:sz w:val="24"/>
        </w:rPr>
        <w:t>Max</w:t>
      </w:r>
      <w:r>
        <w:rPr>
          <w:rFonts w:ascii="Times New Roman" w:hAnsi="Times New Roman"/>
          <w:w w:val="105"/>
          <w:sz w:val="24"/>
        </w:rPr>
        <w:t>(1</w:t>
      </w:r>
      <w:r>
        <w:rPr>
          <w:rFonts w:ascii="Times New Roman" w:hAnsi="Times New Roman"/>
          <w:spacing w:val="-46"/>
          <w:w w:val="105"/>
          <w:sz w:val="24"/>
        </w:rPr>
        <w:t xml:space="preserve"> </w:t>
      </w:r>
      <w:r>
        <w:rPr>
          <w:rFonts w:ascii="Symbol" w:hAnsi="Symbol"/>
          <w:w w:val="105"/>
          <w:sz w:val="24"/>
        </w:rPr>
        <w:t></w:t>
      </w:r>
      <w:r>
        <w:rPr>
          <w:rFonts w:ascii="Times New Roman" w:hAnsi="Times New Roman"/>
          <w:spacing w:val="-25"/>
          <w:w w:val="105"/>
          <w:sz w:val="24"/>
        </w:rPr>
        <w:t xml:space="preserve"> </w:t>
      </w:r>
      <w:r>
        <w:rPr>
          <w:rFonts w:ascii="Times New Roman" w:hAnsi="Times New Roman"/>
          <w:i/>
          <w:spacing w:val="-7"/>
          <w:w w:val="105"/>
          <w:sz w:val="24"/>
        </w:rPr>
        <w:t>r</w:t>
      </w:r>
      <w:r>
        <w:rPr>
          <w:rFonts w:ascii="Times New Roman" w:hAnsi="Times New Roman"/>
          <w:i/>
          <w:spacing w:val="-7"/>
          <w:w w:val="105"/>
          <w:position w:val="-5"/>
          <w:sz w:val="14"/>
        </w:rPr>
        <w:t>m</w:t>
      </w:r>
      <w:r>
        <w:rPr>
          <w:rFonts w:ascii="Symbol" w:hAnsi="Symbol"/>
          <w:i/>
          <w:spacing w:val="-7"/>
          <w:w w:val="105"/>
          <w:position w:val="-5"/>
          <w:sz w:val="15"/>
        </w:rPr>
        <w:t></w:t>
      </w:r>
      <w:r>
        <w:rPr>
          <w:rFonts w:ascii="Times New Roman" w:hAnsi="Times New Roman"/>
          <w:i/>
          <w:spacing w:val="-1"/>
          <w:w w:val="105"/>
          <w:position w:val="-5"/>
          <w:sz w:val="15"/>
        </w:rPr>
        <w:t xml:space="preserve"> </w:t>
      </w:r>
      <w:r>
        <w:rPr>
          <w:rFonts w:ascii="Times New Roman" w:hAnsi="Times New Roman"/>
          <w:spacing w:val="-13"/>
          <w:w w:val="105"/>
          <w:sz w:val="24"/>
        </w:rPr>
        <w:t>,1</w:t>
      </w:r>
      <w:r>
        <w:rPr>
          <w:rFonts w:ascii="Times New Roman" w:hAnsi="Times New Roman"/>
          <w:spacing w:val="-46"/>
          <w:w w:val="105"/>
          <w:sz w:val="24"/>
        </w:rPr>
        <w:t xml:space="preserve"> </w:t>
      </w:r>
      <w:r>
        <w:rPr>
          <w:rFonts w:ascii="Symbol" w:hAnsi="Symbol"/>
          <w:w w:val="105"/>
          <w:sz w:val="24"/>
        </w:rPr>
        <w:t></w:t>
      </w:r>
      <w:r>
        <w:rPr>
          <w:rFonts w:ascii="Times New Roman" w:hAnsi="Times New Roman"/>
          <w:spacing w:val="-24"/>
          <w:w w:val="105"/>
          <w:sz w:val="24"/>
        </w:rPr>
        <w:t xml:space="preserve"> </w:t>
      </w:r>
      <w:r>
        <w:rPr>
          <w:rFonts w:ascii="Times New Roman" w:hAnsi="Times New Roman"/>
          <w:i/>
          <w:spacing w:val="3"/>
          <w:w w:val="105"/>
          <w:sz w:val="24"/>
        </w:rPr>
        <w:t>r</w:t>
      </w:r>
      <w:r>
        <w:rPr>
          <w:rFonts w:ascii="Times New Roman" w:hAnsi="Times New Roman"/>
          <w:i/>
          <w:spacing w:val="3"/>
          <w:w w:val="105"/>
          <w:position w:val="-5"/>
          <w:sz w:val="14"/>
        </w:rPr>
        <w:t>f</w:t>
      </w:r>
      <w:r>
        <w:rPr>
          <w:rFonts w:ascii="Symbol" w:hAnsi="Symbol"/>
          <w:i/>
          <w:spacing w:val="3"/>
          <w:w w:val="105"/>
          <w:position w:val="-5"/>
          <w:sz w:val="15"/>
        </w:rPr>
        <w:t></w:t>
      </w:r>
      <w:r>
        <w:rPr>
          <w:rFonts w:ascii="Times New Roman" w:hAnsi="Times New Roman"/>
          <w:i/>
          <w:spacing w:val="1"/>
          <w:w w:val="105"/>
          <w:position w:val="-5"/>
          <w:sz w:val="15"/>
        </w:rPr>
        <w:t xml:space="preserve"> </w:t>
      </w:r>
      <w:r>
        <w:rPr>
          <w:rFonts w:ascii="Times New Roman" w:hAnsi="Times New Roman"/>
          <w:w w:val="105"/>
          <w:sz w:val="24"/>
        </w:rPr>
        <w:t>)]</w:t>
      </w:r>
      <w:r>
        <w:rPr>
          <w:rFonts w:ascii="Times New Roman" w:hAnsi="Times New Roman"/>
          <w:spacing w:val="-36"/>
          <w:w w:val="105"/>
          <w:sz w:val="24"/>
        </w:rPr>
        <w:t xml:space="preserve"> </w:t>
      </w:r>
      <w:r>
        <w:rPr>
          <w:rFonts w:ascii="Symbol" w:hAnsi="Symbol"/>
          <w:spacing w:val="-7"/>
          <w:w w:val="105"/>
          <w:sz w:val="24"/>
        </w:rPr>
        <w:t></w:t>
      </w:r>
      <w:r>
        <w:rPr>
          <w:rFonts w:ascii="Times New Roman" w:hAnsi="Times New Roman"/>
          <w:spacing w:val="-7"/>
          <w:w w:val="105"/>
          <w:sz w:val="24"/>
        </w:rPr>
        <w:t>1}</w:t>
      </w:r>
      <w:r>
        <w:rPr>
          <w:rFonts w:ascii="Times New Roman" w:hAnsi="Times New Roman"/>
          <w:spacing w:val="-41"/>
          <w:w w:val="105"/>
          <w:sz w:val="24"/>
        </w:rPr>
        <w:t xml:space="preserve"> </w:t>
      </w:r>
      <w:r>
        <w:rPr>
          <w:rFonts w:ascii="Symbol" w:hAnsi="Symbol"/>
          <w:w w:val="105"/>
          <w:sz w:val="24"/>
        </w:rPr>
        <w:t></w:t>
      </w:r>
      <w:r>
        <w:rPr>
          <w:rFonts w:ascii="Times New Roman" w:hAnsi="Times New Roman"/>
          <w:spacing w:val="-29"/>
          <w:w w:val="105"/>
          <w:sz w:val="24"/>
        </w:rPr>
        <w:t xml:space="preserve"> </w:t>
      </w:r>
      <w:r>
        <w:rPr>
          <w:rFonts w:ascii="Times New Roman" w:hAnsi="Times New Roman"/>
          <w:i/>
          <w:spacing w:val="-5"/>
          <w:w w:val="105"/>
          <w:sz w:val="24"/>
        </w:rPr>
        <w:t>r</w:t>
      </w:r>
      <w:r>
        <w:rPr>
          <w:rFonts w:ascii="Times New Roman" w:hAnsi="Times New Roman"/>
          <w:i/>
          <w:spacing w:val="-5"/>
          <w:w w:val="105"/>
          <w:position w:val="-5"/>
          <w:sz w:val="14"/>
        </w:rPr>
        <w:t>mt</w:t>
      </w:r>
    </w:p>
    <w:p w14:paraId="49773DA6">
      <w:pPr>
        <w:pStyle w:val="8"/>
        <w:spacing w:before="165"/>
        <w:ind w:left="1919"/>
      </w:pPr>
      <w:r>
        <w:br w:type="column"/>
      </w:r>
      <w:r>
        <w:t xml:space="preserve">（式 </w:t>
      </w:r>
      <w:r>
        <w:rPr>
          <w:rFonts w:ascii="Times New Roman" w:eastAsia="Times New Roman"/>
        </w:rPr>
        <w:t>3</w:t>
      </w:r>
      <w:r>
        <w:t>）</w:t>
      </w:r>
    </w:p>
    <w:p w14:paraId="6E6E9C8A">
      <w:pPr>
        <w:spacing w:after="0"/>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3">
            <w:col w:w="2931" w:space="40"/>
            <w:col w:w="3231" w:space="39"/>
            <w:col w:w="3589"/>
          </w:cols>
        </w:sectPr>
      </w:pPr>
    </w:p>
    <w:p w14:paraId="7B9AC492">
      <w:pPr>
        <w:spacing w:before="0" w:line="182" w:lineRule="exact"/>
        <w:ind w:left="2911" w:right="0" w:firstLine="0"/>
        <w:jc w:val="left"/>
        <w:rPr>
          <w:rFonts w:ascii="Times New Roman" w:hAnsi="Times New Roman"/>
          <w:sz w:val="14"/>
        </w:rPr>
      </w:pPr>
      <w:r>
        <w:rPr>
          <w:rFonts w:ascii="Symbol" w:hAnsi="Symbol"/>
          <w:i/>
          <w:w w:val="105"/>
          <w:sz w:val="15"/>
        </w:rPr>
        <w:t></w:t>
      </w:r>
      <w:r>
        <w:rPr>
          <w:rFonts w:ascii="Symbol" w:hAnsi="Symbol"/>
          <w:w w:val="105"/>
          <w:sz w:val="14"/>
        </w:rPr>
        <w:t></w:t>
      </w:r>
      <w:r>
        <w:rPr>
          <w:rFonts w:ascii="Times New Roman" w:hAnsi="Times New Roman"/>
          <w:i/>
          <w:w w:val="105"/>
          <w:sz w:val="14"/>
        </w:rPr>
        <w:t>month</w:t>
      </w:r>
      <w:r>
        <w:rPr>
          <w:rFonts w:ascii="Times New Roman" w:hAnsi="Times New Roman"/>
          <w:w w:val="105"/>
          <w:sz w:val="14"/>
        </w:rPr>
        <w:t>(</w:t>
      </w:r>
      <w:r>
        <w:rPr>
          <w:rFonts w:ascii="Times New Roman" w:hAnsi="Times New Roman"/>
          <w:i/>
          <w:w w:val="105"/>
          <w:sz w:val="14"/>
        </w:rPr>
        <w:t xml:space="preserve">t </w:t>
      </w:r>
      <w:r>
        <w:rPr>
          <w:rFonts w:ascii="Times New Roman" w:hAnsi="Times New Roman"/>
          <w:w w:val="105"/>
          <w:sz w:val="14"/>
        </w:rPr>
        <w:t>)</w:t>
      </w:r>
    </w:p>
    <w:p w14:paraId="415FAAFE">
      <w:pPr>
        <w:pStyle w:val="8"/>
        <w:spacing w:before="108" w:line="510" w:lineRule="atLeast"/>
        <w:ind w:left="238" w:right="346" w:firstLine="480"/>
      </w:pPr>
      <w:r>
        <w:rPr>
          <w:spacing w:val="-31"/>
          <w:position w:val="1"/>
        </w:rPr>
        <w:t xml:space="preserve">式 </w:t>
      </w:r>
      <w:r>
        <w:rPr>
          <w:rFonts w:ascii="Times New Roman" w:hAnsi="Times New Roman" w:eastAsia="Times New Roman"/>
          <w:position w:val="1"/>
        </w:rPr>
        <w:t xml:space="preserve">3 </w:t>
      </w:r>
      <w:r>
        <w:rPr>
          <w:spacing w:val="-2"/>
          <w:position w:val="1"/>
        </w:rPr>
        <w:t>中，</w:t>
      </w:r>
      <w:r>
        <w:rPr>
          <w:rFonts w:ascii="Times New Roman" w:hAnsi="Times New Roman" w:eastAsia="Times New Roman"/>
          <w:i/>
          <w:spacing w:val="-3"/>
          <w:position w:val="1"/>
          <w:sz w:val="23"/>
        </w:rPr>
        <w:t>P</w:t>
      </w:r>
      <w:r>
        <w:rPr>
          <w:rFonts w:ascii="Times New Roman" w:hAnsi="Times New Roman" w:eastAsia="Times New Roman"/>
          <w:i/>
          <w:spacing w:val="-3"/>
          <w:position w:val="-4"/>
          <w:sz w:val="13"/>
        </w:rPr>
        <w:t xml:space="preserve">mt </w:t>
      </w:r>
      <w:r>
        <w:rPr>
          <w:position w:val="1"/>
        </w:rPr>
        <w:t>表示每日由把握市场时机带来的单位基金资产增加值，</w:t>
      </w:r>
      <w:r>
        <w:rPr>
          <w:rFonts w:ascii="Times New Roman" w:hAnsi="Times New Roman" w:eastAsia="Times New Roman"/>
          <w:i/>
          <w:sz w:val="25"/>
        </w:rPr>
        <w:t xml:space="preserve">t </w:t>
      </w:r>
      <w:r>
        <w:rPr>
          <w:spacing w:val="-3"/>
          <w:position w:val="1"/>
        </w:rPr>
        <w:t>为月度，</w:t>
      </w:r>
      <w:r>
        <w:rPr>
          <w:rFonts w:ascii="Symbol" w:hAnsi="Symbol" w:eastAsia="Symbol"/>
          <w:i/>
          <w:spacing w:val="-11"/>
          <w:sz w:val="25"/>
        </w:rPr>
        <w:t></w:t>
      </w:r>
      <w:r>
        <w:rPr>
          <w:rFonts w:ascii="Times New Roman" w:hAnsi="Times New Roman" w:eastAsia="Times New Roman"/>
          <w:i/>
          <w:spacing w:val="-11"/>
          <w:sz w:val="25"/>
        </w:rPr>
        <w:t xml:space="preserve"> </w:t>
      </w:r>
      <w:r>
        <w:rPr>
          <w:spacing w:val="-7"/>
          <w:position w:val="1"/>
        </w:rPr>
        <w:t>为交</w:t>
      </w:r>
      <w:r>
        <w:t>易日……</w:t>
      </w:r>
    </w:p>
    <w:p w14:paraId="0CB293EE">
      <w:pPr>
        <w:pStyle w:val="8"/>
        <w:spacing w:before="86"/>
        <w:ind w:left="718"/>
      </w:pPr>
      <w:r>
        <w:t xml:space="preserve">………… </w:t>
      </w:r>
    </w:p>
    <w:p w14:paraId="6E26F80D">
      <w:pPr>
        <w:pStyle w:val="8"/>
        <w:spacing w:before="9"/>
        <w:rPr>
          <w:sz w:val="25"/>
        </w:rPr>
      </w:pPr>
    </w:p>
    <w:p w14:paraId="4B345A7F">
      <w:pPr>
        <w:pStyle w:val="8"/>
        <w:spacing w:before="67"/>
        <w:ind w:left="718"/>
      </w:pPr>
      <w:r>
        <w:t>在进行投资评价时，其评价指标很多，市盈率是一个广泛采用的指标……其计算公式</w:t>
      </w:r>
    </w:p>
    <w:p w14:paraId="43BB3747">
      <w:pPr>
        <w:pStyle w:val="8"/>
        <w:spacing w:before="81"/>
        <w:ind w:left="238"/>
      </w:pPr>
      <w:r>
        <w:t xml:space="preserve">如式 </w:t>
      </w:r>
      <w:r>
        <w:rPr>
          <w:rFonts w:ascii="Times New Roman" w:eastAsia="Times New Roman"/>
        </w:rPr>
        <w:t xml:space="preserve">10 </w:t>
      </w:r>
      <w:r>
        <w:t xml:space="preserve">所示。 </w:t>
      </w:r>
    </w:p>
    <w:p w14:paraId="64AB478D">
      <w:pPr>
        <w:pStyle w:val="8"/>
        <w:spacing w:before="2"/>
        <w:rPr>
          <w:sz w:val="6"/>
        </w:rPr>
      </w:pPr>
    </w:p>
    <w:tbl>
      <w:tblPr>
        <w:tblStyle w:val="11"/>
        <w:tblW w:w="0" w:type="auto"/>
        <w:tblInd w:w="15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99"/>
        <w:gridCol w:w="434"/>
        <w:gridCol w:w="2341"/>
        <w:gridCol w:w="391"/>
        <w:gridCol w:w="1032"/>
        <w:gridCol w:w="1672"/>
      </w:tblGrid>
      <w:tr w14:paraId="12DC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899" w:type="dxa"/>
            <w:vMerge w:val="restart"/>
          </w:tcPr>
          <w:p w14:paraId="2323FFE5">
            <w:pPr>
              <w:pStyle w:val="15"/>
              <w:spacing w:before="127"/>
              <w:ind w:left="200"/>
              <w:jc w:val="left"/>
              <w:rPr>
                <w:rFonts w:hint="eastAsia" w:ascii="宋体" w:eastAsia="宋体"/>
                <w:sz w:val="24"/>
              </w:rPr>
            </w:pPr>
            <w:r>
              <w:rPr>
                <w:rFonts w:hint="eastAsia" w:ascii="宋体" w:eastAsia="宋体"/>
                <w:sz w:val="24"/>
              </w:rPr>
              <w:t>市盈率（</w:t>
            </w:r>
            <w:r>
              <w:rPr>
                <w:sz w:val="24"/>
              </w:rPr>
              <w:t>P/F</w:t>
            </w:r>
            <w:r>
              <w:rPr>
                <w:rFonts w:hint="eastAsia" w:ascii="宋体" w:eastAsia="宋体"/>
                <w:sz w:val="24"/>
              </w:rPr>
              <w:t xml:space="preserve">） </w:t>
            </w:r>
          </w:p>
        </w:tc>
        <w:tc>
          <w:tcPr>
            <w:tcW w:w="434" w:type="dxa"/>
            <w:vMerge w:val="restart"/>
          </w:tcPr>
          <w:p w14:paraId="3060059A">
            <w:pPr>
              <w:pStyle w:val="15"/>
              <w:spacing w:before="143"/>
              <w:ind w:left="94"/>
              <w:jc w:val="left"/>
              <w:rPr>
                <w:rFonts w:ascii="宋体"/>
                <w:sz w:val="24"/>
              </w:rPr>
            </w:pPr>
            <w:r>
              <w:rPr>
                <w:sz w:val="24"/>
              </w:rPr>
              <w:t>=</w:t>
            </w:r>
            <w:r>
              <w:rPr>
                <w:rFonts w:ascii="宋体"/>
                <w:sz w:val="24"/>
              </w:rPr>
              <w:t xml:space="preserve"> </w:t>
            </w:r>
          </w:p>
        </w:tc>
        <w:tc>
          <w:tcPr>
            <w:tcW w:w="2341" w:type="dxa"/>
            <w:tcBorders>
              <w:bottom w:val="single" w:color="000000" w:sz="4" w:space="0"/>
            </w:tcBorders>
          </w:tcPr>
          <w:p w14:paraId="083CFD5D">
            <w:pPr>
              <w:pStyle w:val="15"/>
              <w:spacing w:line="256" w:lineRule="exact"/>
              <w:ind w:left="280" w:right="166"/>
              <w:rPr>
                <w:rFonts w:hint="eastAsia" w:ascii="宋体" w:eastAsia="宋体"/>
                <w:sz w:val="24"/>
              </w:rPr>
            </w:pPr>
            <w:r>
              <w:rPr>
                <w:rFonts w:hint="eastAsia" w:ascii="宋体" w:eastAsia="宋体"/>
                <w:sz w:val="24"/>
              </w:rPr>
              <w:t xml:space="preserve">每股价格 </w:t>
            </w:r>
          </w:p>
        </w:tc>
        <w:tc>
          <w:tcPr>
            <w:tcW w:w="391" w:type="dxa"/>
            <w:vMerge w:val="restart"/>
          </w:tcPr>
          <w:p w14:paraId="33E2D479">
            <w:pPr>
              <w:pStyle w:val="15"/>
              <w:spacing w:before="143"/>
              <w:ind w:left="113"/>
              <w:jc w:val="left"/>
              <w:rPr>
                <w:sz w:val="24"/>
              </w:rPr>
            </w:pPr>
            <w:r>
              <w:rPr>
                <w:sz w:val="24"/>
              </w:rPr>
              <w:t>×</w:t>
            </w:r>
          </w:p>
        </w:tc>
        <w:tc>
          <w:tcPr>
            <w:tcW w:w="1032" w:type="dxa"/>
            <w:vMerge w:val="restart"/>
          </w:tcPr>
          <w:p w14:paraId="436FA378">
            <w:pPr>
              <w:pStyle w:val="15"/>
              <w:spacing w:before="143"/>
              <w:ind w:left="137"/>
              <w:jc w:val="left"/>
              <w:rPr>
                <w:sz w:val="24"/>
              </w:rPr>
            </w:pPr>
            <w:r>
              <w:rPr>
                <w:sz w:val="24"/>
              </w:rPr>
              <w:t>100%</w:t>
            </w:r>
          </w:p>
        </w:tc>
        <w:tc>
          <w:tcPr>
            <w:tcW w:w="1672" w:type="dxa"/>
            <w:vMerge w:val="restart"/>
          </w:tcPr>
          <w:p w14:paraId="70666F38">
            <w:pPr>
              <w:pStyle w:val="15"/>
              <w:spacing w:before="127"/>
              <w:ind w:left="327"/>
              <w:jc w:val="left"/>
              <w:rPr>
                <w:rFonts w:hint="eastAsia" w:ascii="宋体" w:eastAsia="宋体"/>
                <w:sz w:val="24"/>
              </w:rPr>
            </w:pPr>
            <w:r>
              <w:rPr>
                <w:rFonts w:hint="eastAsia" w:ascii="宋体" w:eastAsia="宋体"/>
                <w:sz w:val="24"/>
              </w:rPr>
              <w:t xml:space="preserve">（式 </w:t>
            </w:r>
            <w:r>
              <w:rPr>
                <w:sz w:val="24"/>
              </w:rPr>
              <w:t>10</w:t>
            </w:r>
            <w:r>
              <w:rPr>
                <w:rFonts w:hint="eastAsia" w:ascii="宋体" w:eastAsia="宋体"/>
                <w:sz w:val="24"/>
              </w:rPr>
              <w:t xml:space="preserve">） </w:t>
            </w:r>
          </w:p>
        </w:tc>
      </w:tr>
      <w:tr w14:paraId="331A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1899" w:type="dxa"/>
            <w:vMerge w:val="continue"/>
            <w:tcBorders>
              <w:top w:val="nil"/>
            </w:tcBorders>
          </w:tcPr>
          <w:p w14:paraId="4F5E9ACD">
            <w:pPr>
              <w:rPr>
                <w:sz w:val="2"/>
                <w:szCs w:val="2"/>
              </w:rPr>
            </w:pPr>
          </w:p>
        </w:tc>
        <w:tc>
          <w:tcPr>
            <w:tcW w:w="434" w:type="dxa"/>
            <w:vMerge w:val="continue"/>
            <w:tcBorders>
              <w:top w:val="nil"/>
            </w:tcBorders>
          </w:tcPr>
          <w:p w14:paraId="212D125F">
            <w:pPr>
              <w:rPr>
                <w:sz w:val="2"/>
                <w:szCs w:val="2"/>
              </w:rPr>
            </w:pPr>
          </w:p>
        </w:tc>
        <w:tc>
          <w:tcPr>
            <w:tcW w:w="2341" w:type="dxa"/>
            <w:tcBorders>
              <w:top w:val="single" w:color="000000" w:sz="4" w:space="0"/>
            </w:tcBorders>
          </w:tcPr>
          <w:p w14:paraId="2D468C24">
            <w:pPr>
              <w:pStyle w:val="15"/>
              <w:spacing w:before="2" w:line="272" w:lineRule="exact"/>
              <w:ind w:left="280" w:right="166"/>
              <w:rPr>
                <w:rFonts w:hint="eastAsia" w:ascii="宋体" w:eastAsia="宋体"/>
                <w:sz w:val="24"/>
              </w:rPr>
            </w:pPr>
            <w:r>
              <w:rPr>
                <w:rFonts w:hint="eastAsia" w:ascii="宋体" w:eastAsia="宋体"/>
                <w:sz w:val="24"/>
              </w:rPr>
              <w:t>每股盈利（</w:t>
            </w:r>
            <w:r>
              <w:rPr>
                <w:sz w:val="24"/>
              </w:rPr>
              <w:t>EPS</w:t>
            </w:r>
            <w:r>
              <w:rPr>
                <w:rFonts w:hint="eastAsia" w:ascii="宋体" w:eastAsia="宋体"/>
                <w:sz w:val="24"/>
              </w:rPr>
              <w:t xml:space="preserve">） </w:t>
            </w:r>
          </w:p>
        </w:tc>
        <w:tc>
          <w:tcPr>
            <w:tcW w:w="391" w:type="dxa"/>
            <w:vMerge w:val="continue"/>
            <w:tcBorders>
              <w:top w:val="nil"/>
            </w:tcBorders>
          </w:tcPr>
          <w:p w14:paraId="3087C35D">
            <w:pPr>
              <w:rPr>
                <w:sz w:val="2"/>
                <w:szCs w:val="2"/>
              </w:rPr>
            </w:pPr>
          </w:p>
        </w:tc>
        <w:tc>
          <w:tcPr>
            <w:tcW w:w="1032" w:type="dxa"/>
            <w:vMerge w:val="continue"/>
            <w:tcBorders>
              <w:top w:val="nil"/>
            </w:tcBorders>
          </w:tcPr>
          <w:p w14:paraId="45FB9827">
            <w:pPr>
              <w:rPr>
                <w:sz w:val="2"/>
                <w:szCs w:val="2"/>
              </w:rPr>
            </w:pPr>
          </w:p>
        </w:tc>
        <w:tc>
          <w:tcPr>
            <w:tcW w:w="1672" w:type="dxa"/>
            <w:vMerge w:val="continue"/>
            <w:tcBorders>
              <w:top w:val="nil"/>
            </w:tcBorders>
          </w:tcPr>
          <w:p w14:paraId="1D431B96">
            <w:pPr>
              <w:rPr>
                <w:sz w:val="2"/>
                <w:szCs w:val="2"/>
              </w:rPr>
            </w:pPr>
          </w:p>
        </w:tc>
      </w:tr>
    </w:tbl>
    <w:p w14:paraId="617C2BFB">
      <w:pPr>
        <w:pStyle w:val="8"/>
        <w:spacing w:before="20"/>
        <w:ind w:left="238"/>
      </w:pPr>
      <w:r>
        <w:t xml:space="preserve">    据式 </w:t>
      </w:r>
      <w:r>
        <w:rPr>
          <w:rFonts w:ascii="Times New Roman" w:hAnsi="Times New Roman" w:eastAsia="Times New Roman"/>
        </w:rPr>
        <w:t xml:space="preserve">10 </w:t>
      </w:r>
      <w:r>
        <w:t xml:space="preserve">可计算…… </w:t>
      </w:r>
    </w:p>
    <w:p w14:paraId="7661B2C4">
      <w:pPr>
        <w:pStyle w:val="8"/>
        <w:spacing w:before="43"/>
        <w:ind w:left="718"/>
      </w:pPr>
      <w:r>
        <w:t xml:space="preserve">………… </w:t>
      </w:r>
    </w:p>
    <w:p w14:paraId="55CE0290">
      <w:pPr>
        <w:pStyle w:val="8"/>
        <w:spacing w:before="44"/>
        <w:ind w:left="238"/>
      </w:pPr>
      <w:r>
        <w:t xml:space="preserve"> </w:t>
      </w:r>
    </w:p>
    <w:p w14:paraId="052BC358">
      <w:pPr>
        <w:spacing w:after="0"/>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pPr>
    </w:p>
    <w:p w14:paraId="495C669A">
      <w:pPr>
        <w:pStyle w:val="8"/>
        <w:spacing w:before="7"/>
        <w:rPr>
          <w:sz w:val="10"/>
        </w:rPr>
      </w:pPr>
    </w:p>
    <w:p w14:paraId="7F30F289">
      <w:pPr>
        <w:pStyle w:val="3"/>
        <w:ind w:right="1115"/>
      </w:pPr>
      <w:bookmarkStart w:id="4" w:name="_TOC_250003"/>
      <w:r>
        <w:rPr>
          <w:spacing w:val="60"/>
        </w:rPr>
        <w:t>结 语</w:t>
      </w:r>
      <w:bookmarkEnd w:id="4"/>
      <w:r>
        <w:rPr>
          <w:spacing w:val="60"/>
          <w:w w:val="99"/>
        </w:rPr>
        <w:t xml:space="preserve"> </w:t>
      </w:r>
    </w:p>
    <w:p w14:paraId="0188647E">
      <w:pPr>
        <w:pStyle w:val="8"/>
        <w:spacing w:before="11"/>
        <w:rPr>
          <w:b/>
          <w:sz w:val="30"/>
        </w:rPr>
      </w:pPr>
    </w:p>
    <w:p w14:paraId="02F27C2E">
      <w:pPr>
        <w:pStyle w:val="8"/>
        <w:spacing w:line="242" w:lineRule="auto"/>
        <w:ind w:left="238" w:right="344" w:firstLine="480"/>
      </w:pPr>
      <w:r>
        <w:t>通过本文的初步研究（综上所述</w:t>
      </w:r>
      <w:r>
        <w:rPr>
          <w:spacing w:val="-120"/>
        </w:rPr>
        <w:t>）</w:t>
      </w:r>
      <w:r>
        <w:rPr>
          <w:spacing w:val="-1"/>
        </w:rPr>
        <w:t>，得出的结论是……。可以预见……由于……未来</w:t>
      </w:r>
      <w:r>
        <w:t xml:space="preserve">的研究还可以在从……。 </w:t>
      </w:r>
    </w:p>
    <w:p w14:paraId="7F329696">
      <w:pPr>
        <w:pStyle w:val="8"/>
        <w:spacing w:before="3"/>
        <w:ind w:left="718"/>
      </w:pPr>
      <w:r>
        <w:t xml:space="preserve">………… </w:t>
      </w:r>
    </w:p>
    <w:p w14:paraId="27089629">
      <w:pPr>
        <w:spacing w:before="25"/>
        <w:ind w:left="1187" w:right="1290" w:firstLine="0"/>
        <w:jc w:val="center"/>
        <w:rPr>
          <w:rFonts w:hint="eastAsia" w:ascii="楷体" w:eastAsia="楷体"/>
          <w:sz w:val="21"/>
        </w:rPr>
      </w:pPr>
      <w:r>
        <w:rPr>
          <w:rFonts w:hint="eastAsia" w:ascii="楷体" w:eastAsia="楷体"/>
          <w:sz w:val="21"/>
        </w:rPr>
        <w:t>（下一页）</w:t>
      </w:r>
    </w:p>
    <w:p w14:paraId="7C02762C">
      <w:pPr>
        <w:pStyle w:val="8"/>
        <w:rPr>
          <w:rFonts w:ascii="楷体"/>
          <w:sz w:val="20"/>
        </w:rPr>
      </w:pPr>
    </w:p>
    <w:p w14:paraId="0A06FDA5">
      <w:pPr>
        <w:pStyle w:val="3"/>
        <w:spacing w:before="157"/>
        <w:ind w:right="1115"/>
      </w:pPr>
      <w:bookmarkStart w:id="5" w:name="_TOC_250002"/>
      <w:r>
        <w:t>主要参考文献</w:t>
      </w:r>
      <w:bookmarkEnd w:id="5"/>
      <w:r>
        <w:rPr>
          <w:w w:val="99"/>
        </w:rPr>
        <w:t xml:space="preserve"> </w:t>
      </w:r>
    </w:p>
    <w:p w14:paraId="108B8D70">
      <w:pPr>
        <w:pStyle w:val="8"/>
        <w:spacing w:before="12"/>
        <w:rPr>
          <w:b/>
          <w:sz w:val="33"/>
        </w:rPr>
      </w:pPr>
    </w:p>
    <w:p w14:paraId="5DA17612">
      <w:pPr>
        <w:tabs>
          <w:tab w:val="left" w:pos="1109"/>
        </w:tabs>
        <w:spacing w:before="0"/>
        <w:ind w:left="658" w:right="0" w:firstLine="0"/>
        <w:jc w:val="left"/>
        <w:rPr>
          <w:sz w:val="18"/>
        </w:rPr>
      </w:pPr>
      <w:r>
        <w:rPr>
          <w:rFonts w:ascii="Times New Roman" w:eastAsia="Times New Roman"/>
          <w:sz w:val="18"/>
        </w:rPr>
        <w:t>[1]</w:t>
      </w:r>
      <w:r>
        <w:rPr>
          <w:rFonts w:ascii="Times New Roman" w:eastAsia="Times New Roman"/>
          <w:sz w:val="18"/>
        </w:rPr>
        <w:tab/>
      </w:r>
      <w:r>
        <w:rPr>
          <w:sz w:val="18"/>
        </w:rPr>
        <w:t>何小锋．资产证券化：中国模式</w:t>
      </w:r>
      <w:r>
        <w:rPr>
          <w:rFonts w:ascii="Times New Roman" w:eastAsia="Times New Roman"/>
          <w:sz w:val="18"/>
        </w:rPr>
        <w:t>[M]</w:t>
      </w:r>
      <w:r>
        <w:rPr>
          <w:sz w:val="18"/>
        </w:rPr>
        <w:t>．北京：北京大学出版社，</w:t>
      </w:r>
      <w:r>
        <w:rPr>
          <w:rFonts w:ascii="Times New Roman" w:eastAsia="Times New Roman"/>
          <w:sz w:val="18"/>
        </w:rPr>
        <w:t>2002</w:t>
      </w:r>
      <w:r>
        <w:rPr>
          <w:sz w:val="18"/>
        </w:rPr>
        <w:t>：</w:t>
      </w:r>
      <w:r>
        <w:rPr>
          <w:rFonts w:ascii="Times New Roman" w:eastAsia="Times New Roman"/>
          <w:sz w:val="18"/>
        </w:rPr>
        <w:t>38-42</w:t>
      </w:r>
      <w:r>
        <w:rPr>
          <w:sz w:val="18"/>
        </w:rPr>
        <w:t>．</w:t>
      </w:r>
    </w:p>
    <w:p w14:paraId="236BD7BC">
      <w:pPr>
        <w:tabs>
          <w:tab w:val="left" w:pos="1109"/>
        </w:tabs>
        <w:spacing w:before="81"/>
        <w:ind w:left="658" w:right="0" w:firstLine="0"/>
        <w:jc w:val="left"/>
        <w:rPr>
          <w:sz w:val="18"/>
        </w:rPr>
      </w:pPr>
      <w:r>
        <w:rPr>
          <w:rFonts w:ascii="Times New Roman" w:eastAsia="Times New Roman"/>
          <w:w w:val="99"/>
          <w:sz w:val="18"/>
        </w:rPr>
        <w:t>[</w:t>
      </w:r>
      <w:r>
        <w:rPr>
          <w:rFonts w:ascii="Times New Roman" w:eastAsia="Times New Roman"/>
          <w:spacing w:val="1"/>
          <w:w w:val="99"/>
          <w:sz w:val="18"/>
        </w:rPr>
        <w:t>2</w:t>
      </w:r>
      <w:r>
        <w:rPr>
          <w:rFonts w:ascii="Times New Roman" w:eastAsia="Times New Roman"/>
          <w:w w:val="99"/>
          <w:sz w:val="18"/>
        </w:rPr>
        <w:t>]</w:t>
      </w:r>
      <w:r>
        <w:rPr>
          <w:rFonts w:ascii="Times New Roman" w:eastAsia="Times New Roman"/>
          <w:w w:val="99"/>
          <w:sz w:val="18"/>
        </w:rPr>
        <w:tab/>
      </w:r>
      <w:r>
        <w:rPr>
          <w:w w:val="99"/>
          <w:sz w:val="18"/>
        </w:rPr>
        <w:t>李明．中美证券市场的比较与启示</w:t>
      </w:r>
      <w:r>
        <w:rPr>
          <w:rFonts w:ascii="Times New Roman" w:eastAsia="Times New Roman"/>
          <w:w w:val="99"/>
          <w:sz w:val="18"/>
        </w:rPr>
        <w:t>[J</w:t>
      </w:r>
      <w:r>
        <w:rPr>
          <w:rFonts w:ascii="Times New Roman" w:eastAsia="Times New Roman"/>
          <w:spacing w:val="-1"/>
          <w:w w:val="99"/>
          <w:sz w:val="18"/>
        </w:rPr>
        <w:t>]</w:t>
      </w:r>
      <w:r>
        <w:rPr>
          <w:sz w:val="18"/>
        </w:rPr>
        <w:t>．金融研究，</w:t>
      </w:r>
      <w:r>
        <w:rPr>
          <w:rFonts w:ascii="Times New Roman" w:eastAsia="Times New Roman"/>
          <w:spacing w:val="1"/>
          <w:sz w:val="18"/>
        </w:rPr>
        <w:t>20</w:t>
      </w:r>
      <w:r>
        <w:rPr>
          <w:rFonts w:ascii="Times New Roman" w:eastAsia="Times New Roman"/>
          <w:spacing w:val="-2"/>
          <w:sz w:val="18"/>
        </w:rPr>
        <w:t>0</w:t>
      </w:r>
      <w:r>
        <w:rPr>
          <w:rFonts w:ascii="Times New Roman" w:eastAsia="Times New Roman"/>
          <w:spacing w:val="1"/>
          <w:sz w:val="18"/>
        </w:rPr>
        <w:t>6</w:t>
      </w:r>
      <w:r>
        <w:rPr>
          <w:sz w:val="18"/>
        </w:rPr>
        <w:t>（</w:t>
      </w:r>
      <w:r>
        <w:rPr>
          <w:rFonts w:ascii="Times New Roman" w:eastAsia="Times New Roman"/>
          <w:spacing w:val="-2"/>
          <w:sz w:val="18"/>
        </w:rPr>
        <w:t>1</w:t>
      </w:r>
      <w:r>
        <w:rPr>
          <w:rFonts w:ascii="Times New Roman" w:eastAsia="Times New Roman"/>
          <w:spacing w:val="1"/>
          <w:sz w:val="18"/>
        </w:rPr>
        <w:t>0</w:t>
      </w:r>
      <w:r>
        <w:rPr>
          <w:spacing w:val="-92"/>
          <w:sz w:val="18"/>
        </w:rPr>
        <w:t>）</w:t>
      </w:r>
      <w:r>
        <w:rPr>
          <w:sz w:val="18"/>
        </w:rPr>
        <w:t>：</w:t>
      </w:r>
      <w:r>
        <w:rPr>
          <w:rFonts w:ascii="Times New Roman" w:eastAsia="Times New Roman"/>
          <w:spacing w:val="1"/>
          <w:sz w:val="18"/>
        </w:rPr>
        <w:t>38</w:t>
      </w:r>
      <w:r>
        <w:rPr>
          <w:rFonts w:ascii="Times New Roman" w:eastAsia="Times New Roman"/>
          <w:spacing w:val="-3"/>
          <w:sz w:val="18"/>
        </w:rPr>
        <w:t>-</w:t>
      </w:r>
      <w:r>
        <w:rPr>
          <w:rFonts w:ascii="Times New Roman" w:eastAsia="Times New Roman"/>
          <w:spacing w:val="1"/>
          <w:sz w:val="18"/>
        </w:rPr>
        <w:t>45</w:t>
      </w:r>
      <w:r>
        <w:rPr>
          <w:sz w:val="18"/>
        </w:rPr>
        <w:t>．</w:t>
      </w:r>
    </w:p>
    <w:p w14:paraId="55E163D8">
      <w:pPr>
        <w:tabs>
          <w:tab w:val="left" w:pos="1109"/>
        </w:tabs>
        <w:spacing w:before="82" w:line="324" w:lineRule="auto"/>
        <w:ind w:left="1170" w:right="344" w:hanging="512"/>
        <w:jc w:val="left"/>
        <w:rPr>
          <w:sz w:val="18"/>
        </w:rPr>
      </w:pPr>
      <w:r>
        <w:rPr>
          <w:rFonts w:ascii="Times New Roman" w:eastAsia="Times New Roman"/>
          <w:sz w:val="18"/>
        </w:rPr>
        <w:t>[3]</w:t>
      </w:r>
      <w:r>
        <w:rPr>
          <w:rFonts w:ascii="Times New Roman" w:eastAsia="Times New Roman"/>
          <w:sz w:val="18"/>
        </w:rPr>
        <w:tab/>
      </w:r>
      <w:r>
        <w:rPr>
          <w:spacing w:val="-3"/>
          <w:sz w:val="18"/>
        </w:rPr>
        <w:t>王明国，张华为，李友信，等．中国资产证券化的理论与实际运行情况研究</w:t>
      </w:r>
      <w:r>
        <w:rPr>
          <w:rFonts w:ascii="Times New Roman" w:eastAsia="Times New Roman"/>
          <w:sz w:val="18"/>
        </w:rPr>
        <w:t>[M]</w:t>
      </w:r>
      <w:r>
        <w:rPr>
          <w:spacing w:val="-2"/>
          <w:sz w:val="18"/>
        </w:rPr>
        <w:t>．上海：上海财经大学出版</w:t>
      </w:r>
      <w:r>
        <w:rPr>
          <w:sz w:val="18"/>
        </w:rPr>
        <w:t>社，</w:t>
      </w:r>
      <w:r>
        <w:rPr>
          <w:rFonts w:ascii="Times New Roman" w:eastAsia="Times New Roman"/>
          <w:sz w:val="18"/>
        </w:rPr>
        <w:t>2006</w:t>
      </w:r>
      <w:r>
        <w:rPr>
          <w:sz w:val="18"/>
        </w:rPr>
        <w:t>：</w:t>
      </w:r>
      <w:r>
        <w:rPr>
          <w:rFonts w:ascii="Times New Roman" w:eastAsia="Times New Roman"/>
          <w:sz w:val="18"/>
        </w:rPr>
        <w:t>42-45</w:t>
      </w:r>
      <w:r>
        <w:rPr>
          <w:sz w:val="18"/>
        </w:rPr>
        <w:t>．</w:t>
      </w:r>
    </w:p>
    <w:p w14:paraId="4CE7E8F1">
      <w:pPr>
        <w:tabs>
          <w:tab w:val="left" w:pos="1109"/>
        </w:tabs>
        <w:spacing w:before="1"/>
        <w:ind w:left="658" w:right="0" w:firstLine="0"/>
        <w:jc w:val="left"/>
        <w:rPr>
          <w:rFonts w:ascii="Times New Roman" w:eastAsia="Times New Roman"/>
          <w:sz w:val="18"/>
        </w:rPr>
      </w:pPr>
      <w:r>
        <w:rPr>
          <w:rFonts w:ascii="Times New Roman" w:eastAsia="Times New Roman"/>
          <w:w w:val="99"/>
          <w:sz w:val="18"/>
        </w:rPr>
        <w:t>[</w:t>
      </w:r>
      <w:r>
        <w:rPr>
          <w:rFonts w:ascii="Times New Roman" w:eastAsia="Times New Roman"/>
          <w:spacing w:val="1"/>
          <w:w w:val="99"/>
          <w:sz w:val="18"/>
        </w:rPr>
        <w:t>4</w:t>
      </w:r>
      <w:r>
        <w:rPr>
          <w:rFonts w:ascii="Times New Roman" w:eastAsia="Times New Roman"/>
          <w:w w:val="99"/>
          <w:sz w:val="18"/>
        </w:rPr>
        <w:t>]</w:t>
      </w:r>
      <w:r>
        <w:rPr>
          <w:rFonts w:ascii="Times New Roman" w:eastAsia="Times New Roman"/>
          <w:w w:val="99"/>
          <w:sz w:val="18"/>
        </w:rPr>
        <w:tab/>
      </w:r>
      <w:r>
        <w:rPr>
          <w:spacing w:val="-7"/>
          <w:w w:val="99"/>
          <w:sz w:val="18"/>
        </w:rPr>
        <w:t>张伟．资产证券化的理论与实践</w:t>
      </w:r>
      <w:r>
        <w:rPr>
          <w:w w:val="99"/>
          <w:sz w:val="18"/>
        </w:rPr>
        <w:t>［</w:t>
      </w:r>
      <w:r>
        <w:rPr>
          <w:rFonts w:ascii="Times New Roman" w:eastAsia="Times New Roman"/>
          <w:w w:val="99"/>
          <w:sz w:val="18"/>
        </w:rPr>
        <w:t>EB/OL</w:t>
      </w:r>
      <w:r>
        <w:rPr>
          <w:spacing w:val="-92"/>
          <w:w w:val="99"/>
          <w:sz w:val="18"/>
        </w:rPr>
        <w:t>］</w:t>
      </w:r>
      <w:r>
        <w:rPr>
          <w:spacing w:val="-118"/>
          <w:w w:val="99"/>
          <w:sz w:val="18"/>
        </w:rPr>
        <w:t>．</w:t>
      </w:r>
      <w:r>
        <w:rPr>
          <w:w w:val="99"/>
          <w:sz w:val="18"/>
        </w:rPr>
        <w:t>（</w:t>
      </w:r>
      <w:r>
        <w:rPr>
          <w:rFonts w:ascii="Times New Roman" w:eastAsia="Times New Roman"/>
          <w:spacing w:val="1"/>
          <w:w w:val="99"/>
          <w:sz w:val="18"/>
        </w:rPr>
        <w:t>2</w:t>
      </w:r>
      <w:r>
        <w:rPr>
          <w:rFonts w:ascii="Times New Roman" w:eastAsia="Times New Roman"/>
          <w:spacing w:val="-2"/>
          <w:w w:val="99"/>
          <w:sz w:val="18"/>
        </w:rPr>
        <w:t>0</w:t>
      </w:r>
      <w:r>
        <w:rPr>
          <w:rFonts w:ascii="Times New Roman" w:eastAsia="Times New Roman"/>
          <w:spacing w:val="1"/>
          <w:w w:val="99"/>
          <w:sz w:val="18"/>
        </w:rPr>
        <w:t>07</w:t>
      </w:r>
      <w:r>
        <w:rPr>
          <w:rFonts w:ascii="Times New Roman" w:eastAsia="Times New Roman"/>
          <w:spacing w:val="-3"/>
          <w:w w:val="99"/>
          <w:sz w:val="18"/>
        </w:rPr>
        <w:t>-</w:t>
      </w:r>
      <w:r>
        <w:rPr>
          <w:rFonts w:ascii="Times New Roman" w:eastAsia="Times New Roman"/>
          <w:spacing w:val="1"/>
          <w:w w:val="99"/>
          <w:sz w:val="18"/>
        </w:rPr>
        <w:t>01</w:t>
      </w:r>
      <w:r>
        <w:rPr>
          <w:rFonts w:ascii="Times New Roman" w:eastAsia="Times New Roman"/>
          <w:spacing w:val="-3"/>
          <w:w w:val="99"/>
          <w:sz w:val="18"/>
        </w:rPr>
        <w:t>-</w:t>
      </w:r>
      <w:r>
        <w:rPr>
          <w:rFonts w:ascii="Times New Roman" w:eastAsia="Times New Roman"/>
          <w:spacing w:val="1"/>
          <w:w w:val="99"/>
          <w:sz w:val="18"/>
        </w:rPr>
        <w:t>18</w:t>
      </w:r>
      <w:r>
        <w:rPr>
          <w:spacing w:val="-118"/>
          <w:w w:val="99"/>
          <w:sz w:val="18"/>
        </w:rPr>
        <w:t>）</w:t>
      </w:r>
      <w:r>
        <w:rPr>
          <w:spacing w:val="-3"/>
          <w:w w:val="99"/>
          <w:sz w:val="18"/>
        </w:rPr>
        <w:t>［</w:t>
      </w:r>
      <w:r>
        <w:rPr>
          <w:rFonts w:ascii="Times New Roman" w:eastAsia="Times New Roman"/>
          <w:spacing w:val="1"/>
          <w:w w:val="99"/>
          <w:sz w:val="18"/>
        </w:rPr>
        <w:t>2</w:t>
      </w:r>
      <w:r>
        <w:rPr>
          <w:rFonts w:ascii="Times New Roman" w:eastAsia="Times New Roman"/>
          <w:spacing w:val="-2"/>
          <w:w w:val="99"/>
          <w:sz w:val="18"/>
        </w:rPr>
        <w:t>0</w:t>
      </w:r>
      <w:r>
        <w:rPr>
          <w:rFonts w:ascii="Times New Roman" w:eastAsia="Times New Roman"/>
          <w:spacing w:val="1"/>
          <w:w w:val="99"/>
          <w:sz w:val="18"/>
        </w:rPr>
        <w:t>06</w:t>
      </w:r>
      <w:r>
        <w:rPr>
          <w:rFonts w:ascii="Times New Roman" w:eastAsia="Times New Roman"/>
          <w:spacing w:val="-3"/>
          <w:w w:val="99"/>
          <w:sz w:val="18"/>
        </w:rPr>
        <w:t>-</w:t>
      </w:r>
      <w:r>
        <w:rPr>
          <w:rFonts w:ascii="Times New Roman" w:eastAsia="Times New Roman"/>
          <w:spacing w:val="1"/>
          <w:w w:val="99"/>
          <w:sz w:val="18"/>
        </w:rPr>
        <w:t>12</w:t>
      </w:r>
      <w:r>
        <w:rPr>
          <w:rFonts w:ascii="Times New Roman" w:eastAsia="Times New Roman"/>
          <w:spacing w:val="-3"/>
          <w:w w:val="99"/>
          <w:sz w:val="18"/>
        </w:rPr>
        <w:t>-</w:t>
      </w:r>
      <w:r>
        <w:rPr>
          <w:rFonts w:ascii="Times New Roman" w:eastAsia="Times New Roman"/>
          <w:spacing w:val="1"/>
          <w:w w:val="99"/>
          <w:sz w:val="18"/>
        </w:rPr>
        <w:t>13</w:t>
      </w:r>
      <w:r>
        <w:rPr>
          <w:spacing w:val="-92"/>
          <w:w w:val="99"/>
          <w:sz w:val="18"/>
        </w:rPr>
        <w:t>］</w:t>
      </w:r>
      <w:r>
        <w:rPr>
          <w:spacing w:val="-27"/>
          <w:w w:val="99"/>
          <w:sz w:val="18"/>
        </w:rPr>
        <w:t>．</w:t>
      </w:r>
      <w:r>
        <w:fldChar w:fldCharType="begin"/>
      </w:r>
      <w:r>
        <w:instrText xml:space="preserve"> HYPERLINK "http://www.e521.com/ztjj/index.html" \h </w:instrText>
      </w:r>
      <w:r>
        <w:fldChar w:fldCharType="separate"/>
      </w:r>
      <w:r>
        <w:rPr>
          <w:rFonts w:ascii="Times New Roman" w:eastAsia="Times New Roman"/>
          <w:spacing w:val="-2"/>
          <w:w w:val="99"/>
          <w:sz w:val="18"/>
        </w:rPr>
        <w:t>h</w:t>
      </w:r>
      <w:r>
        <w:rPr>
          <w:rFonts w:ascii="Times New Roman" w:eastAsia="Times New Roman"/>
          <w:w w:val="99"/>
          <w:sz w:val="18"/>
        </w:rPr>
        <w:t>tt</w:t>
      </w:r>
      <w:r>
        <w:rPr>
          <w:rFonts w:ascii="Times New Roman" w:eastAsia="Times New Roman"/>
          <w:spacing w:val="1"/>
          <w:w w:val="99"/>
          <w:sz w:val="18"/>
        </w:rPr>
        <w:t>p</w:t>
      </w:r>
      <w:r>
        <w:rPr>
          <w:rFonts w:ascii="Times New Roman" w:eastAsia="Times New Roman"/>
          <w:spacing w:val="-2"/>
          <w:w w:val="99"/>
          <w:sz w:val="18"/>
        </w:rPr>
        <w:t>:</w:t>
      </w:r>
      <w:r>
        <w:rPr>
          <w:rFonts w:ascii="Times New Roman" w:eastAsia="Times New Roman"/>
          <w:w w:val="99"/>
          <w:sz w:val="18"/>
        </w:rPr>
        <w:t>//w</w:t>
      </w:r>
      <w:r>
        <w:rPr>
          <w:rFonts w:ascii="Times New Roman" w:eastAsia="Times New Roman"/>
          <w:spacing w:val="-1"/>
          <w:w w:val="99"/>
          <w:sz w:val="18"/>
        </w:rPr>
        <w:t>w</w:t>
      </w:r>
      <w:r>
        <w:rPr>
          <w:rFonts w:ascii="Times New Roman" w:eastAsia="Times New Roman"/>
          <w:spacing w:val="-13"/>
          <w:w w:val="99"/>
          <w:sz w:val="18"/>
        </w:rPr>
        <w:t>w</w:t>
      </w:r>
      <w:r>
        <w:rPr>
          <w:rFonts w:ascii="Times New Roman" w:eastAsia="Times New Roman"/>
          <w:sz w:val="18"/>
        </w:rPr>
        <w:t>.</w:t>
      </w:r>
      <w:r>
        <w:rPr>
          <w:rFonts w:ascii="Times New Roman" w:eastAsia="Times New Roman"/>
          <w:spacing w:val="-1"/>
          <w:sz w:val="18"/>
        </w:rPr>
        <w:t>e</w:t>
      </w:r>
      <w:r>
        <w:rPr>
          <w:rFonts w:ascii="Times New Roman" w:eastAsia="Times New Roman"/>
          <w:spacing w:val="1"/>
          <w:sz w:val="18"/>
        </w:rPr>
        <w:t>5</w:t>
      </w:r>
      <w:r>
        <w:rPr>
          <w:rFonts w:ascii="Times New Roman" w:eastAsia="Times New Roman"/>
          <w:spacing w:val="-2"/>
          <w:sz w:val="18"/>
        </w:rPr>
        <w:t>2</w:t>
      </w:r>
      <w:r>
        <w:rPr>
          <w:rFonts w:ascii="Times New Roman" w:eastAsia="Times New Roman"/>
          <w:spacing w:val="1"/>
          <w:sz w:val="18"/>
        </w:rPr>
        <w:t>1</w:t>
      </w:r>
      <w:r>
        <w:rPr>
          <w:rFonts w:ascii="Times New Roman" w:eastAsia="Times New Roman"/>
          <w:sz w:val="18"/>
        </w:rPr>
        <w:t>.</w:t>
      </w:r>
      <w:r>
        <w:rPr>
          <w:rFonts w:ascii="Times New Roman" w:eastAsia="Times New Roman"/>
          <w:spacing w:val="-1"/>
          <w:sz w:val="18"/>
        </w:rPr>
        <w:t>c</w:t>
      </w:r>
      <w:r>
        <w:rPr>
          <w:rFonts w:ascii="Times New Roman" w:eastAsia="Times New Roman"/>
          <w:spacing w:val="-2"/>
          <w:sz w:val="18"/>
        </w:rPr>
        <w:t>o</w:t>
      </w:r>
      <w:r>
        <w:rPr>
          <w:rFonts w:ascii="Times New Roman" w:eastAsia="Times New Roman"/>
          <w:spacing w:val="-1"/>
          <w:sz w:val="18"/>
        </w:rPr>
        <w:t>m</w:t>
      </w:r>
      <w:r>
        <w:rPr>
          <w:rFonts w:ascii="Times New Roman" w:eastAsia="Times New Roman"/>
          <w:sz w:val="18"/>
        </w:rPr>
        <w:t>/ztjj/i</w:t>
      </w:r>
      <w:r>
        <w:rPr>
          <w:rFonts w:ascii="Times New Roman" w:eastAsia="Times New Roman"/>
          <w:spacing w:val="1"/>
          <w:sz w:val="18"/>
        </w:rPr>
        <w:t>nd</w:t>
      </w:r>
      <w:r>
        <w:rPr>
          <w:rFonts w:ascii="Times New Roman" w:eastAsia="Times New Roman"/>
          <w:spacing w:val="-4"/>
          <w:sz w:val="18"/>
        </w:rPr>
        <w:t>e</w:t>
      </w:r>
      <w:r>
        <w:rPr>
          <w:rFonts w:ascii="Times New Roman" w:eastAsia="Times New Roman"/>
          <w:spacing w:val="1"/>
          <w:sz w:val="18"/>
        </w:rPr>
        <w:t>x</w:t>
      </w:r>
      <w:r>
        <w:rPr>
          <w:rFonts w:ascii="Times New Roman" w:eastAsia="Times New Roman"/>
          <w:sz w:val="18"/>
        </w:rPr>
        <w:t>.</w:t>
      </w:r>
      <w:r>
        <w:rPr>
          <w:rFonts w:ascii="Times New Roman" w:eastAsia="Times New Roman"/>
          <w:spacing w:val="1"/>
          <w:sz w:val="18"/>
        </w:rPr>
        <w:t>h</w:t>
      </w:r>
      <w:r>
        <w:rPr>
          <w:rFonts w:ascii="Times New Roman" w:eastAsia="Times New Roman"/>
          <w:sz w:val="18"/>
        </w:rPr>
        <w:t>t</w:t>
      </w:r>
      <w:r>
        <w:rPr>
          <w:rFonts w:ascii="Times New Roman" w:eastAsia="Times New Roman"/>
          <w:spacing w:val="2"/>
          <w:sz w:val="18"/>
        </w:rPr>
        <w:t>m</w:t>
      </w:r>
      <w:r>
        <w:rPr>
          <w:rFonts w:ascii="Times New Roman" w:eastAsia="Times New Roman"/>
          <w:spacing w:val="-2"/>
          <w:sz w:val="18"/>
        </w:rPr>
        <w:t>l</w:t>
      </w:r>
      <w:r>
        <w:rPr>
          <w:rFonts w:ascii="Times New Roman" w:eastAsia="Times New Roman"/>
          <w:sz w:val="18"/>
        </w:rPr>
        <w:t>.</w:t>
      </w:r>
      <w:r>
        <w:rPr>
          <w:rFonts w:ascii="Times New Roman" w:eastAsia="Times New Roman"/>
          <w:sz w:val="18"/>
        </w:rPr>
        <w:fldChar w:fldCharType="end"/>
      </w:r>
    </w:p>
    <w:p w14:paraId="388F3D4A">
      <w:pPr>
        <w:pStyle w:val="14"/>
        <w:numPr>
          <w:ilvl w:val="0"/>
          <w:numId w:val="1"/>
        </w:numPr>
        <w:tabs>
          <w:tab w:val="left" w:pos="1109"/>
          <w:tab w:val="left" w:pos="1110"/>
        </w:tabs>
        <w:spacing w:before="81" w:after="0" w:line="240" w:lineRule="auto"/>
        <w:ind w:left="1110" w:right="0" w:hanging="452"/>
        <w:jc w:val="left"/>
        <w:rPr>
          <w:rFonts w:hint="eastAsia" w:ascii="宋体" w:eastAsia="宋体"/>
          <w:sz w:val="18"/>
        </w:rPr>
      </w:pPr>
      <w:r>
        <w:rPr>
          <w:rFonts w:hint="eastAsia" w:ascii="宋体" w:eastAsia="宋体"/>
          <w:w w:val="99"/>
          <w:sz w:val="18"/>
        </w:rPr>
        <w:t>郑明．十多年来中国资本市场的基本走势分析</w:t>
      </w:r>
      <w:r>
        <w:rPr>
          <w:w w:val="99"/>
          <w:sz w:val="18"/>
        </w:rPr>
        <w:t>[N</w:t>
      </w:r>
      <w:r>
        <w:rPr>
          <w:spacing w:val="-1"/>
          <w:w w:val="99"/>
          <w:sz w:val="18"/>
        </w:rPr>
        <w:t>]</w:t>
      </w:r>
      <w:r>
        <w:rPr>
          <w:rFonts w:hint="eastAsia" w:ascii="宋体" w:eastAsia="宋体"/>
          <w:sz w:val="18"/>
        </w:rPr>
        <w:t>．中国证券报，</w:t>
      </w:r>
      <w:r>
        <w:rPr>
          <w:spacing w:val="1"/>
          <w:sz w:val="18"/>
        </w:rPr>
        <w:t>20</w:t>
      </w:r>
      <w:r>
        <w:rPr>
          <w:spacing w:val="-2"/>
          <w:sz w:val="18"/>
        </w:rPr>
        <w:t>0</w:t>
      </w:r>
      <w:r>
        <w:rPr>
          <w:spacing w:val="1"/>
          <w:sz w:val="18"/>
        </w:rPr>
        <w:t>5</w:t>
      </w:r>
      <w:r>
        <w:rPr>
          <w:sz w:val="18"/>
        </w:rPr>
        <w:t>-</w:t>
      </w:r>
      <w:r>
        <w:rPr>
          <w:spacing w:val="-2"/>
          <w:sz w:val="18"/>
        </w:rPr>
        <w:t>0</w:t>
      </w:r>
      <w:r>
        <w:rPr>
          <w:spacing w:val="1"/>
          <w:sz w:val="18"/>
        </w:rPr>
        <w:t>1</w:t>
      </w:r>
      <w:r>
        <w:rPr>
          <w:spacing w:val="-3"/>
          <w:sz w:val="18"/>
        </w:rPr>
        <w:t>-</w:t>
      </w:r>
      <w:r>
        <w:rPr>
          <w:spacing w:val="1"/>
          <w:sz w:val="18"/>
        </w:rPr>
        <w:t>28</w:t>
      </w:r>
      <w:r>
        <w:rPr>
          <w:rFonts w:hint="eastAsia" w:ascii="宋体" w:eastAsia="宋体"/>
          <w:spacing w:val="-3"/>
          <w:sz w:val="18"/>
        </w:rPr>
        <w:t>（</w:t>
      </w:r>
      <w:r>
        <w:rPr>
          <w:spacing w:val="1"/>
          <w:sz w:val="18"/>
        </w:rPr>
        <w:t>8</w:t>
      </w:r>
      <w:r>
        <w:rPr>
          <w:rFonts w:hint="eastAsia" w:ascii="宋体" w:eastAsia="宋体"/>
          <w:spacing w:val="-92"/>
          <w:sz w:val="18"/>
        </w:rPr>
        <w:t>）．</w:t>
      </w:r>
    </w:p>
    <w:p w14:paraId="330ABB68">
      <w:pPr>
        <w:pStyle w:val="14"/>
        <w:numPr>
          <w:ilvl w:val="0"/>
          <w:numId w:val="1"/>
        </w:numPr>
        <w:tabs>
          <w:tab w:val="left" w:pos="1109"/>
          <w:tab w:val="left" w:pos="1110"/>
        </w:tabs>
        <w:spacing w:before="82" w:after="0" w:line="240" w:lineRule="auto"/>
        <w:ind w:left="1110" w:right="0" w:hanging="452"/>
        <w:jc w:val="left"/>
        <w:rPr>
          <w:rFonts w:hint="eastAsia" w:ascii="宋体" w:eastAsia="宋体"/>
          <w:sz w:val="18"/>
        </w:rPr>
      </w:pPr>
      <w:r>
        <w:rPr>
          <w:rFonts w:hint="eastAsia" w:ascii="宋体" w:eastAsia="宋体"/>
          <w:w w:val="99"/>
          <w:sz w:val="18"/>
        </w:rPr>
        <w:t>王小华．试论中国资产证券化所引起的会计问题</w:t>
      </w:r>
      <w:r>
        <w:rPr>
          <w:w w:val="99"/>
          <w:sz w:val="18"/>
        </w:rPr>
        <w:t>[J]</w:t>
      </w:r>
      <w:r>
        <w:rPr>
          <w:rFonts w:hint="eastAsia" w:ascii="宋体" w:eastAsia="宋体"/>
          <w:sz w:val="18"/>
        </w:rPr>
        <w:t>．会计研究，</w:t>
      </w:r>
      <w:r>
        <w:rPr>
          <w:spacing w:val="1"/>
          <w:sz w:val="18"/>
        </w:rPr>
        <w:t>20</w:t>
      </w:r>
      <w:r>
        <w:rPr>
          <w:spacing w:val="-2"/>
          <w:sz w:val="18"/>
        </w:rPr>
        <w:t>0</w:t>
      </w:r>
      <w:r>
        <w:rPr>
          <w:spacing w:val="1"/>
          <w:sz w:val="18"/>
        </w:rPr>
        <w:t>5</w:t>
      </w:r>
      <w:r>
        <w:rPr>
          <w:rFonts w:hint="eastAsia" w:ascii="宋体" w:eastAsia="宋体"/>
          <w:sz w:val="18"/>
        </w:rPr>
        <w:t>（</w:t>
      </w:r>
      <w:r>
        <w:rPr>
          <w:spacing w:val="-2"/>
          <w:sz w:val="18"/>
        </w:rPr>
        <w:t>1</w:t>
      </w:r>
      <w:r>
        <w:rPr>
          <w:spacing w:val="1"/>
          <w:sz w:val="18"/>
        </w:rPr>
        <w:t>0</w:t>
      </w:r>
      <w:r>
        <w:rPr>
          <w:rFonts w:hint="eastAsia" w:ascii="宋体" w:eastAsia="宋体"/>
          <w:spacing w:val="-92"/>
          <w:sz w:val="18"/>
        </w:rPr>
        <w:t>）</w:t>
      </w:r>
      <w:r>
        <w:rPr>
          <w:rFonts w:hint="eastAsia" w:ascii="宋体" w:eastAsia="宋体"/>
          <w:sz w:val="18"/>
        </w:rPr>
        <w:t>：</w:t>
      </w:r>
      <w:r>
        <w:rPr>
          <w:spacing w:val="1"/>
          <w:sz w:val="18"/>
        </w:rPr>
        <w:t>55</w:t>
      </w:r>
      <w:r>
        <w:rPr>
          <w:spacing w:val="-3"/>
          <w:sz w:val="18"/>
        </w:rPr>
        <w:t>-</w:t>
      </w:r>
      <w:r>
        <w:rPr>
          <w:spacing w:val="1"/>
          <w:sz w:val="18"/>
        </w:rPr>
        <w:t>61</w:t>
      </w:r>
      <w:r>
        <w:rPr>
          <w:rFonts w:hint="eastAsia" w:ascii="宋体" w:eastAsia="宋体"/>
          <w:sz w:val="18"/>
        </w:rPr>
        <w:t>．</w:t>
      </w:r>
    </w:p>
    <w:p w14:paraId="5D2BE543">
      <w:pPr>
        <w:pStyle w:val="14"/>
        <w:numPr>
          <w:ilvl w:val="0"/>
          <w:numId w:val="1"/>
        </w:numPr>
        <w:tabs>
          <w:tab w:val="left" w:pos="1109"/>
          <w:tab w:val="left" w:pos="1110"/>
        </w:tabs>
        <w:spacing w:before="93" w:after="0" w:line="362" w:lineRule="auto"/>
        <w:ind w:left="1170" w:right="344" w:hanging="512"/>
        <w:jc w:val="left"/>
        <w:rPr>
          <w:sz w:val="18"/>
        </w:rPr>
      </w:pPr>
      <w:r>
        <w:rPr>
          <w:sz w:val="18"/>
        </w:rPr>
        <w:t xml:space="preserve">Paton.William A. Accounting </w:t>
      </w:r>
      <w:r>
        <w:rPr>
          <w:i/>
          <w:sz w:val="18"/>
        </w:rPr>
        <w:t>Theory-With Special Reference to the Corporate Enterprise</w:t>
      </w:r>
      <w:r>
        <w:rPr>
          <w:sz w:val="18"/>
        </w:rPr>
        <w:t xml:space="preserve">. New </w:t>
      </w:r>
      <w:r>
        <w:rPr>
          <w:spacing w:val="-4"/>
          <w:sz w:val="18"/>
        </w:rPr>
        <w:t xml:space="preserve">York: </w:t>
      </w:r>
      <w:r>
        <w:rPr>
          <w:sz w:val="18"/>
        </w:rPr>
        <w:t>The Ronald Press Company, 1922:</w:t>
      </w:r>
      <w:r>
        <w:rPr>
          <w:spacing w:val="-4"/>
          <w:sz w:val="18"/>
        </w:rPr>
        <w:t xml:space="preserve"> </w:t>
      </w:r>
      <w:r>
        <w:rPr>
          <w:sz w:val="18"/>
        </w:rPr>
        <w:t>142-156.</w:t>
      </w:r>
    </w:p>
    <w:p w14:paraId="72AACC5B">
      <w:pPr>
        <w:pStyle w:val="14"/>
        <w:numPr>
          <w:ilvl w:val="0"/>
          <w:numId w:val="1"/>
        </w:numPr>
        <w:tabs>
          <w:tab w:val="left" w:pos="1109"/>
          <w:tab w:val="left" w:pos="1110"/>
        </w:tabs>
        <w:spacing w:before="0" w:after="0" w:line="362" w:lineRule="auto"/>
        <w:ind w:left="1170" w:right="346" w:hanging="512"/>
        <w:jc w:val="left"/>
        <w:rPr>
          <w:sz w:val="18"/>
        </w:rPr>
      </w:pPr>
      <w:r>
        <w:rPr>
          <w:sz w:val="18"/>
        </w:rPr>
        <w:t>Zeff.Stephen</w:t>
      </w:r>
      <w:r>
        <w:rPr>
          <w:spacing w:val="-2"/>
          <w:sz w:val="18"/>
        </w:rPr>
        <w:t xml:space="preserve"> </w:t>
      </w:r>
      <w:r>
        <w:rPr>
          <w:sz w:val="18"/>
        </w:rPr>
        <w:t>A.</w:t>
      </w:r>
      <w:r>
        <w:rPr>
          <w:spacing w:val="-1"/>
          <w:sz w:val="18"/>
        </w:rPr>
        <w:t xml:space="preserve"> </w:t>
      </w:r>
      <w:r>
        <w:rPr>
          <w:i/>
          <w:sz w:val="18"/>
        </w:rPr>
        <w:t>The</w:t>
      </w:r>
      <w:r>
        <w:rPr>
          <w:i/>
          <w:spacing w:val="-3"/>
          <w:sz w:val="18"/>
        </w:rPr>
        <w:t xml:space="preserve"> </w:t>
      </w:r>
      <w:r>
        <w:rPr>
          <w:i/>
          <w:sz w:val="18"/>
        </w:rPr>
        <w:t>Rise</w:t>
      </w:r>
      <w:r>
        <w:rPr>
          <w:i/>
          <w:spacing w:val="-4"/>
          <w:sz w:val="18"/>
        </w:rPr>
        <w:t xml:space="preserve"> </w:t>
      </w:r>
      <w:r>
        <w:rPr>
          <w:i/>
          <w:sz w:val="18"/>
        </w:rPr>
        <w:t>“Economic</w:t>
      </w:r>
      <w:r>
        <w:rPr>
          <w:i/>
          <w:spacing w:val="-2"/>
          <w:sz w:val="18"/>
        </w:rPr>
        <w:t xml:space="preserve"> </w:t>
      </w:r>
      <w:r>
        <w:rPr>
          <w:i/>
          <w:sz w:val="18"/>
        </w:rPr>
        <w:t>Consequences”:</w:t>
      </w:r>
      <w:r>
        <w:rPr>
          <w:i/>
          <w:spacing w:val="-3"/>
          <w:sz w:val="18"/>
        </w:rPr>
        <w:t xml:space="preserve"> </w:t>
      </w:r>
      <w:r>
        <w:rPr>
          <w:i/>
          <w:sz w:val="18"/>
        </w:rPr>
        <w:t>The</w:t>
      </w:r>
      <w:r>
        <w:rPr>
          <w:i/>
          <w:spacing w:val="-3"/>
          <w:sz w:val="18"/>
        </w:rPr>
        <w:t xml:space="preserve"> </w:t>
      </w:r>
      <w:r>
        <w:rPr>
          <w:i/>
          <w:sz w:val="18"/>
        </w:rPr>
        <w:t>impact</w:t>
      </w:r>
      <w:r>
        <w:rPr>
          <w:i/>
          <w:spacing w:val="-5"/>
          <w:sz w:val="18"/>
        </w:rPr>
        <w:t xml:space="preserve"> </w:t>
      </w:r>
      <w:r>
        <w:rPr>
          <w:i/>
          <w:sz w:val="18"/>
        </w:rPr>
        <w:t>of</w:t>
      </w:r>
      <w:r>
        <w:rPr>
          <w:i/>
          <w:spacing w:val="-2"/>
          <w:sz w:val="18"/>
        </w:rPr>
        <w:t xml:space="preserve"> </w:t>
      </w:r>
      <w:r>
        <w:rPr>
          <w:i/>
          <w:sz w:val="18"/>
        </w:rPr>
        <w:t>accounting</w:t>
      </w:r>
      <w:r>
        <w:rPr>
          <w:i/>
          <w:spacing w:val="-2"/>
          <w:sz w:val="18"/>
        </w:rPr>
        <w:t xml:space="preserve"> </w:t>
      </w:r>
      <w:r>
        <w:rPr>
          <w:i/>
          <w:sz w:val="18"/>
        </w:rPr>
        <w:t>reports</w:t>
      </w:r>
      <w:r>
        <w:rPr>
          <w:i/>
          <w:spacing w:val="-3"/>
          <w:sz w:val="18"/>
        </w:rPr>
        <w:t xml:space="preserve"> </w:t>
      </w:r>
      <w:r>
        <w:rPr>
          <w:i/>
          <w:sz w:val="18"/>
        </w:rPr>
        <w:t>on</w:t>
      </w:r>
      <w:r>
        <w:rPr>
          <w:i/>
          <w:spacing w:val="-2"/>
          <w:sz w:val="18"/>
        </w:rPr>
        <w:t xml:space="preserve"> </w:t>
      </w:r>
      <w:r>
        <w:rPr>
          <w:i/>
          <w:sz w:val="18"/>
        </w:rPr>
        <w:t>decision</w:t>
      </w:r>
      <w:r>
        <w:rPr>
          <w:i/>
          <w:spacing w:val="-1"/>
          <w:sz w:val="18"/>
        </w:rPr>
        <w:t xml:space="preserve"> </w:t>
      </w:r>
      <w:r>
        <w:rPr>
          <w:i/>
          <w:sz w:val="18"/>
        </w:rPr>
        <w:t>making</w:t>
      </w:r>
      <w:r>
        <w:rPr>
          <w:i/>
          <w:spacing w:val="-2"/>
          <w:sz w:val="18"/>
        </w:rPr>
        <w:t xml:space="preserve"> </w:t>
      </w:r>
      <w:r>
        <w:rPr>
          <w:i/>
          <w:sz w:val="18"/>
        </w:rPr>
        <w:t>may</w:t>
      </w:r>
      <w:r>
        <w:rPr>
          <w:i/>
          <w:spacing w:val="-3"/>
          <w:sz w:val="18"/>
        </w:rPr>
        <w:t xml:space="preserve"> </w:t>
      </w:r>
      <w:r>
        <w:rPr>
          <w:i/>
          <w:sz w:val="18"/>
        </w:rPr>
        <w:t>be the most challenging accounting issue of the 1970s</w:t>
      </w:r>
      <w:r>
        <w:rPr>
          <w:sz w:val="18"/>
        </w:rPr>
        <w:t>. The Journal of</w:t>
      </w:r>
      <w:r>
        <w:rPr>
          <w:spacing w:val="-33"/>
          <w:sz w:val="18"/>
        </w:rPr>
        <w:t xml:space="preserve"> </w:t>
      </w:r>
      <w:r>
        <w:rPr>
          <w:sz w:val="18"/>
        </w:rPr>
        <w:t>Accountancy, 1978, 28(12): 56-63.</w:t>
      </w:r>
    </w:p>
    <w:p w14:paraId="547B2AE8">
      <w:pPr>
        <w:spacing w:before="0" w:line="218" w:lineRule="exact"/>
        <w:ind w:left="658" w:right="0" w:firstLine="0"/>
        <w:jc w:val="left"/>
        <w:rPr>
          <w:sz w:val="18"/>
        </w:rPr>
      </w:pPr>
      <w:r>
        <w:rPr>
          <w:sz w:val="18"/>
        </w:rPr>
        <w:t xml:space="preserve">………… </w:t>
      </w:r>
    </w:p>
    <w:p w14:paraId="25E54ADB">
      <w:pPr>
        <w:spacing w:before="58"/>
        <w:ind w:left="658" w:right="0" w:firstLine="0"/>
        <w:jc w:val="left"/>
        <w:rPr>
          <w:rFonts w:ascii="Times New Roman" w:hAnsi="Times New Roman"/>
          <w:sz w:val="24"/>
        </w:rPr>
      </w:pPr>
      <w:r>
        <w:rPr>
          <w:rFonts w:ascii="Times New Roman" w:hAnsi="Times New Roman"/>
          <w:sz w:val="18"/>
        </w:rPr>
        <w:t>[15]</w:t>
      </w:r>
      <w:r>
        <w:rPr>
          <w:rFonts w:ascii="Times New Roman" w:hAnsi="Times New Roman"/>
          <w:spacing w:val="2"/>
          <w:sz w:val="18"/>
        </w:rPr>
        <w:t xml:space="preserve"> </w:t>
      </w:r>
      <w:r>
        <w:rPr>
          <w:rFonts w:ascii="Times New Roman" w:hAnsi="Times New Roman"/>
          <w:sz w:val="24"/>
        </w:rPr>
        <w:t>……</w:t>
      </w:r>
    </w:p>
    <w:p w14:paraId="50CEA00D">
      <w:pPr>
        <w:spacing w:before="59"/>
        <w:ind w:left="658" w:right="0" w:firstLine="0"/>
        <w:jc w:val="left"/>
        <w:rPr>
          <w:sz w:val="18"/>
        </w:rPr>
      </w:pPr>
      <w:r>
        <w:rPr>
          <w:sz w:val="18"/>
        </w:rPr>
        <w:t xml:space="preserve">………… </w:t>
      </w:r>
    </w:p>
    <w:p w14:paraId="5333D597">
      <w:pPr>
        <w:spacing w:before="63"/>
        <w:ind w:left="4333" w:right="0" w:firstLine="0"/>
        <w:jc w:val="left"/>
        <w:rPr>
          <w:rFonts w:hint="eastAsia" w:ascii="楷体" w:eastAsia="楷体"/>
          <w:sz w:val="21"/>
        </w:rPr>
      </w:pPr>
      <w:r>
        <w:rPr>
          <w:rFonts w:hint="eastAsia" w:ascii="楷体" w:eastAsia="楷体"/>
          <w:sz w:val="21"/>
        </w:rPr>
        <w:t>（</w:t>
      </w:r>
      <w:r>
        <w:rPr>
          <w:rFonts w:hint="eastAsia" w:ascii="楷体" w:eastAsia="楷体"/>
          <w:spacing w:val="-2"/>
          <w:sz w:val="21"/>
        </w:rPr>
        <w:t>下一页</w:t>
      </w:r>
      <w:r>
        <w:rPr>
          <w:rFonts w:hint="eastAsia" w:ascii="楷体" w:eastAsia="楷体"/>
          <w:sz w:val="21"/>
        </w:rPr>
        <w:t>）</w:t>
      </w:r>
    </w:p>
    <w:p w14:paraId="1602F13B">
      <w:pPr>
        <w:pStyle w:val="8"/>
        <w:rPr>
          <w:rFonts w:ascii="楷体"/>
          <w:sz w:val="20"/>
        </w:rPr>
      </w:pPr>
    </w:p>
    <w:p w14:paraId="3E73561C">
      <w:pPr>
        <w:pStyle w:val="3"/>
        <w:spacing w:before="158"/>
        <w:ind w:left="4317"/>
        <w:jc w:val="left"/>
      </w:pPr>
      <w:bookmarkStart w:id="6" w:name="_TOC_250001"/>
      <w:r>
        <w:rPr>
          <w:spacing w:val="59"/>
        </w:rPr>
        <w:t>附 录</w:t>
      </w:r>
      <w:bookmarkEnd w:id="6"/>
      <w:r>
        <w:rPr>
          <w:spacing w:val="59"/>
          <w:w w:val="99"/>
        </w:rPr>
        <w:t xml:space="preserve"> </w:t>
      </w:r>
    </w:p>
    <w:p w14:paraId="40CFAE57">
      <w:pPr>
        <w:pStyle w:val="8"/>
        <w:rPr>
          <w:b/>
          <w:sz w:val="20"/>
        </w:rPr>
      </w:pPr>
    </w:p>
    <w:p w14:paraId="711CD202">
      <w:pPr>
        <w:pStyle w:val="8"/>
        <w:spacing w:before="10"/>
        <w:rPr>
          <w:b/>
          <w:sz w:val="14"/>
        </w:rPr>
      </w:pPr>
    </w:p>
    <w:p w14:paraId="2D0199D3">
      <w:pPr>
        <w:spacing w:after="0"/>
        <w:rPr>
          <w:sz w:val="14"/>
        </w:rPr>
        <w:sectPr>
          <w:pgSz w:w="11910" w:h="16840"/>
          <w:pgMar w:top="1580" w:right="900" w:bottom="1180" w:left="1180" w:header="880" w:footer="990" w:gutter="0"/>
          <w:pgBorders>
            <w:top w:val="none" w:sz="0" w:space="0"/>
            <w:left w:val="none" w:sz="0" w:space="0"/>
            <w:bottom w:val="none" w:sz="0" w:space="0"/>
            <w:right w:val="none" w:sz="0" w:space="0"/>
          </w:pgBorders>
          <w:cols w:space="720" w:num="1"/>
        </w:sectPr>
      </w:pPr>
    </w:p>
    <w:p w14:paraId="0A5F0B9E">
      <w:pPr>
        <w:pStyle w:val="4"/>
        <w:spacing w:before="55"/>
        <w:ind w:left="238"/>
        <w:jc w:val="left"/>
      </w:pPr>
      <w:r>
        <w:t>附录一</w:t>
      </w:r>
    </w:p>
    <w:p w14:paraId="5D8A5726">
      <w:pPr>
        <w:pStyle w:val="8"/>
        <w:rPr>
          <w:rFonts w:ascii="黑体"/>
          <w:b/>
          <w:sz w:val="32"/>
        </w:rPr>
      </w:pPr>
    </w:p>
    <w:p w14:paraId="673EDD79">
      <w:pPr>
        <w:pStyle w:val="8"/>
        <w:spacing w:before="3"/>
        <w:rPr>
          <w:rFonts w:ascii="黑体"/>
          <w:b/>
          <w:sz w:val="25"/>
        </w:rPr>
      </w:pPr>
    </w:p>
    <w:p w14:paraId="52123B4A">
      <w:pPr>
        <w:pStyle w:val="8"/>
        <w:ind w:left="718"/>
      </w:pPr>
      <w:r>
        <w:t xml:space="preserve">………… </w:t>
      </w:r>
    </w:p>
    <w:p w14:paraId="79E031D6">
      <w:pPr>
        <w:pStyle w:val="8"/>
        <w:rPr>
          <w:sz w:val="34"/>
        </w:rPr>
      </w:pPr>
      <w:r>
        <w:br w:type="column"/>
      </w:r>
    </w:p>
    <w:p w14:paraId="5B28EBA8">
      <w:pPr>
        <w:pStyle w:val="4"/>
        <w:spacing w:before="265"/>
        <w:ind w:left="221" w:right="3795"/>
        <w:rPr>
          <w:rFonts w:ascii="Times New Roman"/>
        </w:rPr>
      </w:pPr>
      <w:r>
        <w:rPr>
          <w:rFonts w:ascii="Times New Roman"/>
        </w:rPr>
        <w:t>XXXXXXXXXX</w:t>
      </w:r>
    </w:p>
    <w:p w14:paraId="3100C5D6">
      <w:pPr>
        <w:pStyle w:val="8"/>
        <w:spacing w:before="2"/>
        <w:rPr>
          <w:rFonts w:ascii="Times New Roman"/>
          <w:b/>
          <w:sz w:val="40"/>
        </w:rPr>
      </w:pPr>
    </w:p>
    <w:p w14:paraId="2DC263CC">
      <w:pPr>
        <w:spacing w:before="0"/>
        <w:ind w:left="221" w:right="3790" w:firstLine="0"/>
        <w:jc w:val="center"/>
        <w:rPr>
          <w:rFonts w:hint="eastAsia" w:ascii="楷体" w:eastAsia="楷体"/>
          <w:sz w:val="21"/>
        </w:rPr>
      </w:pPr>
      <w:r>
        <w:rPr>
          <w:rFonts w:hint="eastAsia" w:ascii="楷体" w:eastAsia="楷体"/>
          <w:sz w:val="21"/>
        </w:rPr>
        <w:t>（下一页，非必选项）</w:t>
      </w:r>
    </w:p>
    <w:p w14:paraId="53D2AD6F">
      <w:pPr>
        <w:pStyle w:val="8"/>
        <w:rPr>
          <w:rFonts w:ascii="楷体"/>
          <w:sz w:val="20"/>
        </w:rPr>
      </w:pPr>
    </w:p>
    <w:p w14:paraId="6F2FF4C6">
      <w:pPr>
        <w:pStyle w:val="3"/>
        <w:spacing w:before="157"/>
        <w:ind w:left="853"/>
        <w:jc w:val="left"/>
      </w:pPr>
      <w:bookmarkStart w:id="7" w:name="_TOC_250000"/>
      <w:r>
        <w:rPr>
          <w:spacing w:val="60"/>
        </w:rPr>
        <w:t>后 记</w:t>
      </w:r>
      <w:bookmarkEnd w:id="7"/>
      <w:r>
        <w:rPr>
          <w:spacing w:val="60"/>
          <w:w w:val="99"/>
        </w:rPr>
        <w:t xml:space="preserve"> </w:t>
      </w:r>
    </w:p>
    <w:p w14:paraId="5F6276FD">
      <w:pPr>
        <w:spacing w:after="0"/>
        <w:jc w:val="left"/>
        <w:sectPr>
          <w:type w:val="continuous"/>
          <w:pgSz w:w="11910" w:h="16840"/>
          <w:pgMar w:top="1580" w:right="900" w:bottom="280" w:left="1180" w:header="720" w:footer="720" w:gutter="0"/>
          <w:pgBorders>
            <w:top w:val="none" w:sz="0" w:space="0"/>
            <w:left w:val="none" w:sz="0" w:space="0"/>
            <w:bottom w:val="none" w:sz="0" w:space="0"/>
            <w:right w:val="none" w:sz="0" w:space="0"/>
          </w:pgBorders>
          <w:cols w:equalWidth="0" w:num="2">
            <w:col w:w="1839" w:space="1624"/>
            <w:col w:w="6367"/>
          </w:cols>
        </w:sectPr>
      </w:pPr>
    </w:p>
    <w:p w14:paraId="10C324C5">
      <w:pPr>
        <w:pStyle w:val="8"/>
        <w:spacing w:before="9"/>
        <w:rPr>
          <w:b/>
          <w:sz w:val="25"/>
        </w:rPr>
      </w:pPr>
    </w:p>
    <w:p w14:paraId="18982F1E">
      <w:pPr>
        <w:pStyle w:val="8"/>
        <w:spacing w:before="67"/>
        <w:ind w:left="718"/>
      </w:pPr>
      <w:r>
        <w:t xml:space="preserve">………… </w:t>
      </w:r>
    </w:p>
    <w:sectPr>
      <w:type w:val="continuous"/>
      <w:pgSz w:w="11910" w:h="16840"/>
      <w:pgMar w:top="1580" w:right="900" w:bottom="280" w:left="11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7AEA">
    <w:pPr>
      <w:pStyle w:val="8"/>
      <w:spacing w:line="14" w:lineRule="auto"/>
      <w:rPr>
        <w:sz w:val="20"/>
      </w:rPr>
    </w:pPr>
    <w:r>
      <w:pict>
        <v:shape id="_x0000_s2051" o:spid="_x0000_s2051" o:spt="202" type="#_x0000_t202" style="position:absolute;left:0pt;margin-left:294pt;margin-top:781.4pt;height:12pt;width:21.6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17E83C15">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5847">
    <w:pPr>
      <w:pStyle w:val="8"/>
      <w:spacing w:line="14" w:lineRule="auto"/>
      <w:rPr>
        <w:sz w:val="20"/>
      </w:rPr>
    </w:pPr>
    <w:r>
      <w:pict>
        <v:shape id="_x0000_s2052" o:spid="_x0000_s2052" o:spt="202" type="#_x0000_t202" style="position:absolute;left:0pt;margin-left:294pt;margin-top:781.4pt;height:12pt;width:21.6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3233D02F">
                <w:pPr>
                  <w:spacing w:before="12"/>
                  <w:ind w:left="20" w:right="0" w:firstLine="0"/>
                  <w:jc w:val="left"/>
                  <w:rPr>
                    <w:rFonts w:ascii="Times New Roman"/>
                    <w:sz w:val="18"/>
                  </w:rPr>
                </w:pPr>
                <w:r>
                  <w:rPr>
                    <w:rFonts w:ascii="Times New Roman"/>
                    <w:sz w:val="18"/>
                  </w:rPr>
                  <w:t>- 1 -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33C2">
    <w:pPr>
      <w:pStyle w:val="8"/>
      <w:spacing w:line="14" w:lineRule="auto"/>
      <w:rPr>
        <w:sz w:val="20"/>
      </w:rPr>
    </w:pPr>
    <w:r>
      <w:pict>
        <v:shape id="_x0000_s2053" o:spid="_x0000_s2053" o:spt="202" type="#_x0000_t202" style="position:absolute;left:0pt;margin-left:295.2pt;margin-top:781.4pt;height:12pt;width:19.0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0885E493">
                <w:pPr>
                  <w:spacing w:before="12"/>
                  <w:ind w:left="20" w:right="0" w:firstLine="0"/>
                  <w:jc w:val="left"/>
                  <w:rPr>
                    <w:rFonts w:ascii="Times New Roman"/>
                    <w:sz w:val="18"/>
                  </w:rPr>
                </w:pPr>
                <w:r>
                  <w:rPr>
                    <w:rFonts w:ascii="Times New Roman"/>
                    <w:sz w:val="18"/>
                  </w:rPr>
                  <w:t>- X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695A">
    <w:pPr>
      <w:pStyle w:val="8"/>
      <w:spacing w:line="14" w:lineRule="auto"/>
      <w:rPr>
        <w:sz w:val="20"/>
      </w:rPr>
    </w:pPr>
    <w:r>
      <w:pict>
        <v:line id="_x0000_s2049" o:spid="_x0000_s2049" o:spt="20" style="position:absolute;left:0pt;margin-left:69.5pt;margin-top:55.55pt;height:0pt;width:470.55pt;mso-position-horizontal-relative:page;mso-position-vertical-relative:page;z-index:-251654144;mso-width-relative:page;mso-height-relative:page;" stroked="t" coordsize="21600,21600">
          <v:path arrowok="t"/>
          <v:fill focussize="0,0"/>
          <v:stroke weight="0.72pt" color="#000000"/>
          <v:imagedata o:title=""/>
          <o:lock v:ext="edit"/>
        </v:line>
      </w:pict>
    </w:r>
    <w:r>
      <w:pict>
        <v:shape id="_x0000_s2050" o:spid="_x0000_s2050" o:spt="202" type="#_x0000_t202" style="position:absolute;left:0pt;margin-left:202.4pt;margin-top:42.95pt;height:11pt;width:204.6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5B14D9AA">
                <w:pPr>
                  <w:spacing w:before="0" w:line="220" w:lineRule="exact"/>
                  <w:ind w:left="20" w:right="0" w:firstLine="0"/>
                  <w:jc w:val="left"/>
                  <w:rPr>
                    <w:sz w:val="18"/>
                  </w:rPr>
                </w:pPr>
                <w:r>
                  <w:rPr>
                    <w:spacing w:val="-5"/>
                    <w:sz w:val="18"/>
                  </w:rPr>
                  <w:t xml:space="preserve">中南财经政法大学 </w:t>
                </w:r>
                <w:r>
                  <w:rPr>
                    <w:sz w:val="18"/>
                  </w:rPr>
                  <w:t>20XX</w:t>
                </w:r>
                <w:r>
                  <w:rPr>
                    <w:spacing w:val="-7"/>
                    <w:sz w:val="18"/>
                  </w:rPr>
                  <w:t xml:space="preserve"> 届本科生毕业论文</w:t>
                </w:r>
                <w:r>
                  <w:rPr>
                    <w:sz w:val="18"/>
                  </w:rPr>
                  <w:t>（设计）</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5"/>
      <w:numFmt w:val="decimal"/>
      <w:lvlText w:val="[%1]"/>
      <w:lvlJc w:val="left"/>
      <w:pPr>
        <w:ind w:left="1110" w:hanging="452"/>
        <w:jc w:val="left"/>
      </w:pPr>
      <w:rPr>
        <w:rFonts w:hint="default" w:ascii="Times New Roman" w:hAnsi="Times New Roman" w:eastAsia="Times New Roman" w:cs="Times New Roman"/>
        <w:spacing w:val="-92"/>
        <w:w w:val="99"/>
        <w:sz w:val="18"/>
        <w:szCs w:val="18"/>
        <w:lang w:val="zh-CN" w:eastAsia="zh-CN" w:bidi="zh-CN"/>
      </w:rPr>
    </w:lvl>
    <w:lvl w:ilvl="1" w:tentative="0">
      <w:start w:val="0"/>
      <w:numFmt w:val="bullet"/>
      <w:lvlText w:val="•"/>
      <w:lvlJc w:val="left"/>
      <w:pPr>
        <w:ind w:left="1990" w:hanging="452"/>
      </w:pPr>
      <w:rPr>
        <w:rFonts w:hint="default"/>
        <w:lang w:val="zh-CN" w:eastAsia="zh-CN" w:bidi="zh-CN"/>
      </w:rPr>
    </w:lvl>
    <w:lvl w:ilvl="2" w:tentative="0">
      <w:start w:val="0"/>
      <w:numFmt w:val="bullet"/>
      <w:lvlText w:val="•"/>
      <w:lvlJc w:val="left"/>
      <w:pPr>
        <w:ind w:left="2861" w:hanging="452"/>
      </w:pPr>
      <w:rPr>
        <w:rFonts w:hint="default"/>
        <w:lang w:val="zh-CN" w:eastAsia="zh-CN" w:bidi="zh-CN"/>
      </w:rPr>
    </w:lvl>
    <w:lvl w:ilvl="3" w:tentative="0">
      <w:start w:val="0"/>
      <w:numFmt w:val="bullet"/>
      <w:lvlText w:val="•"/>
      <w:lvlJc w:val="left"/>
      <w:pPr>
        <w:ind w:left="3731" w:hanging="452"/>
      </w:pPr>
      <w:rPr>
        <w:rFonts w:hint="default"/>
        <w:lang w:val="zh-CN" w:eastAsia="zh-CN" w:bidi="zh-CN"/>
      </w:rPr>
    </w:lvl>
    <w:lvl w:ilvl="4" w:tentative="0">
      <w:start w:val="0"/>
      <w:numFmt w:val="bullet"/>
      <w:lvlText w:val="•"/>
      <w:lvlJc w:val="left"/>
      <w:pPr>
        <w:ind w:left="4602" w:hanging="452"/>
      </w:pPr>
      <w:rPr>
        <w:rFonts w:hint="default"/>
        <w:lang w:val="zh-CN" w:eastAsia="zh-CN" w:bidi="zh-CN"/>
      </w:rPr>
    </w:lvl>
    <w:lvl w:ilvl="5" w:tentative="0">
      <w:start w:val="0"/>
      <w:numFmt w:val="bullet"/>
      <w:lvlText w:val="•"/>
      <w:lvlJc w:val="left"/>
      <w:pPr>
        <w:ind w:left="5473" w:hanging="452"/>
      </w:pPr>
      <w:rPr>
        <w:rFonts w:hint="default"/>
        <w:lang w:val="zh-CN" w:eastAsia="zh-CN" w:bidi="zh-CN"/>
      </w:rPr>
    </w:lvl>
    <w:lvl w:ilvl="6" w:tentative="0">
      <w:start w:val="0"/>
      <w:numFmt w:val="bullet"/>
      <w:lvlText w:val="•"/>
      <w:lvlJc w:val="left"/>
      <w:pPr>
        <w:ind w:left="6343" w:hanging="452"/>
      </w:pPr>
      <w:rPr>
        <w:rFonts w:hint="default"/>
        <w:lang w:val="zh-CN" w:eastAsia="zh-CN" w:bidi="zh-CN"/>
      </w:rPr>
    </w:lvl>
    <w:lvl w:ilvl="7" w:tentative="0">
      <w:start w:val="0"/>
      <w:numFmt w:val="bullet"/>
      <w:lvlText w:val="•"/>
      <w:lvlJc w:val="left"/>
      <w:pPr>
        <w:ind w:left="7214" w:hanging="452"/>
      </w:pPr>
      <w:rPr>
        <w:rFonts w:hint="default"/>
        <w:lang w:val="zh-CN" w:eastAsia="zh-CN" w:bidi="zh-CN"/>
      </w:rPr>
    </w:lvl>
    <w:lvl w:ilvl="8" w:tentative="0">
      <w:start w:val="0"/>
      <w:numFmt w:val="bullet"/>
      <w:lvlText w:val="•"/>
      <w:lvlJc w:val="left"/>
      <w:pPr>
        <w:ind w:left="8085" w:hanging="45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jIzOWMxY2ExMzhhOGZlODQ2ZDAxNjAyOWM1MjFlNjEifQ=="/>
  </w:docVars>
  <w:rsids>
    <w:rsidRoot w:val="00000000"/>
    <w:rsid w:val="07320C51"/>
    <w:rsid w:val="16ED0A04"/>
    <w:rsid w:val="3626796A"/>
    <w:rsid w:val="3BB86535"/>
    <w:rsid w:val="5325057D"/>
    <w:rsid w:val="66E21BDB"/>
    <w:rsid w:val="703F26E2"/>
    <w:rsid w:val="749C1589"/>
    <w:rsid w:val="7A396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1187" w:right="1292"/>
      <w:jc w:val="center"/>
      <w:outlineLvl w:val="1"/>
    </w:pPr>
    <w:rPr>
      <w:rFonts w:ascii="黑体" w:hAnsi="黑体" w:eastAsia="黑体" w:cs="黑体"/>
      <w:b/>
      <w:bCs/>
      <w:sz w:val="44"/>
      <w:szCs w:val="44"/>
      <w:lang w:val="zh-CN" w:eastAsia="zh-CN" w:bidi="zh-CN"/>
    </w:rPr>
  </w:style>
  <w:style w:type="paragraph" w:styleId="3">
    <w:name w:val="heading 2"/>
    <w:basedOn w:val="1"/>
    <w:next w:val="1"/>
    <w:qFormat/>
    <w:uiPriority w:val="1"/>
    <w:pPr>
      <w:spacing w:before="50"/>
      <w:ind w:left="1187"/>
      <w:jc w:val="center"/>
      <w:outlineLvl w:val="2"/>
    </w:pPr>
    <w:rPr>
      <w:rFonts w:ascii="宋体" w:hAnsi="宋体" w:eastAsia="宋体" w:cs="宋体"/>
      <w:b/>
      <w:bCs/>
      <w:sz w:val="36"/>
      <w:szCs w:val="36"/>
      <w:lang w:val="zh-CN" w:eastAsia="zh-CN" w:bidi="zh-CN"/>
    </w:rPr>
  </w:style>
  <w:style w:type="paragraph" w:styleId="4">
    <w:name w:val="heading 3"/>
    <w:basedOn w:val="1"/>
    <w:next w:val="1"/>
    <w:qFormat/>
    <w:uiPriority w:val="1"/>
    <w:pPr>
      <w:jc w:val="center"/>
      <w:outlineLvl w:val="3"/>
    </w:pPr>
    <w:rPr>
      <w:rFonts w:ascii="黑体" w:hAnsi="黑体" w:eastAsia="黑体" w:cs="黑体"/>
      <w:b/>
      <w:bCs/>
      <w:sz w:val="32"/>
      <w:szCs w:val="32"/>
      <w:lang w:val="zh-CN" w:eastAsia="zh-CN" w:bidi="zh-CN"/>
    </w:rPr>
  </w:style>
  <w:style w:type="paragraph" w:styleId="5">
    <w:name w:val="heading 4"/>
    <w:basedOn w:val="1"/>
    <w:next w:val="1"/>
    <w:qFormat/>
    <w:uiPriority w:val="1"/>
    <w:pPr>
      <w:ind w:left="800"/>
      <w:outlineLvl w:val="4"/>
    </w:pPr>
    <w:rPr>
      <w:rFonts w:ascii="宋体" w:hAnsi="宋体" w:eastAsia="宋体" w:cs="宋体"/>
      <w:b/>
      <w:bCs/>
      <w:sz w:val="28"/>
      <w:szCs w:val="28"/>
      <w:lang w:val="zh-CN" w:eastAsia="zh-CN" w:bidi="zh-CN"/>
    </w:rPr>
  </w:style>
  <w:style w:type="paragraph" w:styleId="6">
    <w:name w:val="heading 5"/>
    <w:basedOn w:val="1"/>
    <w:next w:val="1"/>
    <w:qFormat/>
    <w:uiPriority w:val="1"/>
    <w:pPr>
      <w:ind w:left="238"/>
      <w:outlineLvl w:val="5"/>
    </w:pPr>
    <w:rPr>
      <w:rFonts w:ascii="宋体" w:hAnsi="宋体" w:eastAsia="宋体" w:cs="宋体"/>
      <w:sz w:val="28"/>
      <w:szCs w:val="28"/>
      <w:lang w:val="zh-CN" w:eastAsia="zh-CN" w:bidi="zh-CN"/>
    </w:rPr>
  </w:style>
  <w:style w:type="paragraph" w:styleId="7">
    <w:name w:val="heading 6"/>
    <w:basedOn w:val="1"/>
    <w:next w:val="1"/>
    <w:qFormat/>
    <w:uiPriority w:val="1"/>
    <w:pPr>
      <w:outlineLvl w:val="6"/>
    </w:pPr>
    <w:rPr>
      <w:rFonts w:ascii="宋体" w:hAnsi="宋体" w:eastAsia="宋体" w:cs="宋体"/>
      <w:b/>
      <w:bCs/>
      <w:sz w:val="24"/>
      <w:szCs w:val="24"/>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4"/>
      <w:szCs w:val="24"/>
      <w:lang w:val="zh-CN" w:eastAsia="zh-CN" w:bidi="zh-CN"/>
    </w:rPr>
  </w:style>
  <w:style w:type="paragraph" w:styleId="9">
    <w:name w:val="toc 1"/>
    <w:basedOn w:val="1"/>
    <w:next w:val="1"/>
    <w:qFormat/>
    <w:uiPriority w:val="1"/>
    <w:pPr>
      <w:spacing w:before="329"/>
      <w:ind w:left="238"/>
    </w:pPr>
    <w:rPr>
      <w:rFonts w:ascii="黑体" w:hAnsi="黑体" w:eastAsia="黑体" w:cs="黑体"/>
      <w:b/>
      <w:bCs/>
      <w:sz w:val="28"/>
      <w:szCs w:val="28"/>
      <w:lang w:val="zh-CN" w:eastAsia="zh-CN" w:bidi="zh-CN"/>
    </w:rPr>
  </w:style>
  <w:style w:type="paragraph" w:styleId="10">
    <w:name w:val="toc 2"/>
    <w:basedOn w:val="1"/>
    <w:next w:val="1"/>
    <w:qFormat/>
    <w:uiPriority w:val="1"/>
    <w:pPr>
      <w:spacing w:before="84"/>
      <w:ind w:left="718"/>
    </w:pPr>
    <w:rPr>
      <w:rFonts w:ascii="宋体" w:hAnsi="宋体" w:eastAsia="宋体" w:cs="宋体"/>
      <w:sz w:val="24"/>
      <w:szCs w:val="24"/>
      <w:lang w:val="zh-CN" w:eastAsia="zh-CN" w:bidi="zh-CN"/>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110" w:hanging="512"/>
    </w:pPr>
    <w:rPr>
      <w:rFonts w:ascii="Times New Roman" w:hAnsi="Times New Roman" w:eastAsia="Times New Roman" w:cs="Times New Roman"/>
      <w:lang w:val="zh-CN" w:eastAsia="zh-CN" w:bidi="zh-CN"/>
    </w:rPr>
  </w:style>
  <w:style w:type="paragraph" w:customStyle="1" w:styleId="15">
    <w:name w:val="Table Paragraph"/>
    <w:basedOn w:val="1"/>
    <w:qFormat/>
    <w:uiPriority w:val="1"/>
    <w:pPr>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26"/>
    <customShpInfo spid="_x0000_s1027"/>
    <customShpInfo spid="_x0000_s1029"/>
    <customShpInfo spid="_x0000_s1030"/>
    <customShpInfo spid="_x0000_s1028"/>
    <customShpInfo spid="_x0000_s1032"/>
    <customShpInfo spid="_x0000_s1033"/>
    <customShpInfo spid="_x0000_s1034"/>
    <customShpInfo spid="_x0000_s1035"/>
    <customShpInfo spid="_x0000_s1036"/>
    <customShpInfo spid="_x0000_s1031"/>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37"/>
    <customShpInfo spid="_x0000_s1047"/>
    <customShpInfo spid="_x0000_s1048"/>
    <customShpInfo spid="_x0000_s1049"/>
    <customShpInfo spid="_x0000_s1050"/>
    <customShpInfo spid="_x0000_s1051"/>
    <customShpInfo spid="_x0000_s1052"/>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053"/>
    <customShpInfo spid="_x0000_s1208"/>
    <customShpInfo spid="_x0000_s12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69</Words>
  <Characters>87</Characters>
  <TotalTime>10</TotalTime>
  <ScaleCrop>false</ScaleCrop>
  <LinksUpToDate>false</LinksUpToDate>
  <CharactersWithSpaces>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2022-09-16T00:31:00Z</dcterms:created>
  <dc:creator>教务部（余明远）</dc:creator>
  <cp:lastModifiedBy>Administrator</cp:lastModifiedBy>
  <dcterms:modified xsi:type="dcterms:W3CDTF">2026-06-12T13:54:03Z</dcterms:modified>
  <dc:title>中南财经政法大学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 2019</vt:lpwstr>
  </property>
  <property fmtid="{D5CDD505-2E9C-101B-9397-08002B2CF9AE}" pid="4" name="LastSaved">
    <vt:filetime>2022-09-16T00:00:00Z</vt:filetime>
  </property>
  <property fmtid="{D5CDD505-2E9C-101B-9397-08002B2CF9AE}" pid="5" name="KSOProductBuildVer">
    <vt:lpwstr>2052-12.1.0.25225</vt:lpwstr>
  </property>
  <property fmtid="{D5CDD505-2E9C-101B-9397-08002B2CF9AE}" pid="6" name="ICV">
    <vt:lpwstr>09165C6A5C33446AA6717AE74C8D0941_12</vt:lpwstr>
  </property>
  <property fmtid="{D5CDD505-2E9C-101B-9397-08002B2CF9AE}" pid="7" name="KSOTemplateDocerSaveRecord">
    <vt:lpwstr>eyJoZGlkIjoiMzEzZmQ3NTBhYmY2ZDc0NDNkNzA3ZTZhZWE4MjhjYTAifQ==</vt:lpwstr>
  </property>
</Properties>
</file>